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7E72F" w14:textId="77777777" w:rsidR="00CF49B9" w:rsidRDefault="00CF49B9" w:rsidP="00CF49B9">
      <w:pPr>
        <w:pStyle w:val="Ttulo2"/>
        <w:rPr>
          <w:i w:val="0"/>
        </w:rPr>
      </w:pPr>
      <w:bookmarkStart w:id="0" w:name="_Toc63251814"/>
    </w:p>
    <w:p w14:paraId="00BEDD71" w14:textId="21F7BD5A" w:rsidR="00CF49B9" w:rsidRPr="00A83EC4" w:rsidRDefault="00CF49B9" w:rsidP="00CF49B9">
      <w:pPr>
        <w:pStyle w:val="Ttulo2"/>
        <w:rPr>
          <w:i w:val="0"/>
        </w:rPr>
      </w:pPr>
      <w:r w:rsidRPr="00A83EC4">
        <w:rPr>
          <w:i w:val="0"/>
        </w:rPr>
        <w:t>ANEXO 5. FORMATO DE ASPECTOS RELEVANTES DE LA EVALUACIÓN (FARE)</w:t>
      </w:r>
      <w:bookmarkEnd w:id="0"/>
    </w:p>
    <w:p w14:paraId="3541EE86" w14:textId="77777777" w:rsidR="00CF49B9" w:rsidRDefault="00CF49B9" w:rsidP="00CF49B9">
      <w:pPr>
        <w:spacing w:after="0" w:line="240" w:lineRule="auto"/>
        <w:rPr>
          <w:rFonts w:ascii="Cambria" w:eastAsia="Cambria" w:hAnsi="Cambria" w:cs="Cambria"/>
          <w:b/>
          <w:i/>
        </w:rPr>
      </w:pPr>
    </w:p>
    <w:tbl>
      <w:tblPr>
        <w:tblStyle w:val="1"/>
        <w:tblW w:w="8941" w:type="dxa"/>
        <w:jc w:val="cente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1129"/>
        <w:gridCol w:w="1276"/>
        <w:gridCol w:w="2126"/>
        <w:gridCol w:w="1701"/>
        <w:gridCol w:w="443"/>
        <w:gridCol w:w="463"/>
        <w:gridCol w:w="1803"/>
      </w:tblGrid>
      <w:tr w:rsidR="00CF49B9" w14:paraId="5A631188" w14:textId="77777777" w:rsidTr="001422F7">
        <w:trPr>
          <w:trHeight w:val="583"/>
          <w:jc w:val="center"/>
        </w:trPr>
        <w:tc>
          <w:tcPr>
            <w:tcW w:w="2405" w:type="dxa"/>
            <w:gridSpan w:val="2"/>
            <w:shd w:val="clear" w:color="auto" w:fill="AEAAAA"/>
            <w:vAlign w:val="center"/>
          </w:tcPr>
          <w:p w14:paraId="3D68668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i/>
                <w:color w:val="FFFFFF"/>
                <w:sz w:val="16"/>
                <w:szCs w:val="16"/>
              </w:rPr>
            </w:pPr>
            <w:r>
              <w:rPr>
                <w:rFonts w:ascii="Cambria" w:eastAsia="Cambria" w:hAnsi="Cambria" w:cs="Cambria"/>
                <w:b/>
                <w:color w:val="FFFFFF"/>
                <w:sz w:val="16"/>
                <w:szCs w:val="16"/>
              </w:rPr>
              <w:t>Nombre de la evaluación:</w:t>
            </w:r>
          </w:p>
        </w:tc>
        <w:tc>
          <w:tcPr>
            <w:tcW w:w="6536" w:type="dxa"/>
            <w:gridSpan w:val="5"/>
            <w:shd w:val="clear" w:color="auto" w:fill="AEAAAA"/>
            <w:vAlign w:val="center"/>
          </w:tcPr>
          <w:p w14:paraId="6932BBFF" w14:textId="34B5E52F" w:rsidR="00CF49B9" w:rsidRDefault="00E8550D" w:rsidP="001422F7">
            <w:pPr>
              <w:pBdr>
                <w:top w:val="nil"/>
                <w:left w:val="nil"/>
                <w:bottom w:val="nil"/>
                <w:right w:val="nil"/>
                <w:between w:val="nil"/>
              </w:pBdr>
              <w:spacing w:before="20" w:after="0" w:line="240" w:lineRule="auto"/>
              <w:rPr>
                <w:rFonts w:ascii="Cambria" w:eastAsia="Cambria" w:hAnsi="Cambria" w:cs="Cambria"/>
                <w:color w:val="FFFFFF"/>
                <w:sz w:val="16"/>
                <w:szCs w:val="16"/>
              </w:rPr>
            </w:pPr>
            <w:r w:rsidRPr="00E8550D">
              <w:rPr>
                <w:rFonts w:ascii="Cambria" w:eastAsia="Cambria" w:hAnsi="Cambria" w:cs="Cambria"/>
                <w:color w:val="FFFFFF"/>
                <w:sz w:val="16"/>
                <w:szCs w:val="16"/>
              </w:rPr>
              <w:t xml:space="preserve">Evaluación de Procesos del Programa </w:t>
            </w:r>
            <w:r w:rsidR="00550F6C" w:rsidRPr="00550F6C">
              <w:rPr>
                <w:rFonts w:ascii="Cambria" w:eastAsia="Cambria" w:hAnsi="Cambria" w:cs="Cambria"/>
                <w:color w:val="FFFFFF"/>
                <w:sz w:val="16"/>
                <w:szCs w:val="16"/>
              </w:rPr>
              <w:t>Jóvenes Escribiendo el Futuro</w:t>
            </w:r>
          </w:p>
        </w:tc>
      </w:tr>
      <w:tr w:rsidR="00CF49B9" w14:paraId="561909D9" w14:textId="77777777" w:rsidTr="001422F7">
        <w:trPr>
          <w:trHeight w:val="583"/>
          <w:jc w:val="center"/>
        </w:trPr>
        <w:tc>
          <w:tcPr>
            <w:tcW w:w="2405" w:type="dxa"/>
            <w:gridSpan w:val="2"/>
            <w:shd w:val="clear" w:color="auto" w:fill="auto"/>
            <w:vAlign w:val="center"/>
          </w:tcPr>
          <w:p w14:paraId="25A47D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Objetivo de la evaluación:</w:t>
            </w:r>
          </w:p>
        </w:tc>
        <w:tc>
          <w:tcPr>
            <w:tcW w:w="6536" w:type="dxa"/>
            <w:gridSpan w:val="5"/>
            <w:shd w:val="clear" w:color="auto" w:fill="auto"/>
            <w:vAlign w:val="center"/>
          </w:tcPr>
          <w:p w14:paraId="327BE550" w14:textId="2BF996ED" w:rsidR="00CF49B9" w:rsidRDefault="00B42C5C"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sidRPr="00B42C5C">
              <w:rPr>
                <w:rFonts w:ascii="Cambria" w:eastAsia="Cambria" w:hAnsi="Cambria" w:cs="Cambria"/>
                <w:color w:val="000000"/>
                <w:sz w:val="16"/>
                <w:szCs w:val="16"/>
              </w:rPr>
              <w:t xml:space="preserve">Realizar un análisis sistemático de la gestión </w:t>
            </w:r>
            <w:r w:rsidRPr="009B2382">
              <w:rPr>
                <w:rFonts w:ascii="Cambria" w:eastAsia="Cambria" w:hAnsi="Cambria" w:cs="Cambria"/>
                <w:sz w:val="16"/>
                <w:szCs w:val="16"/>
              </w:rPr>
              <w:t xml:space="preserve">operativa </w:t>
            </w:r>
            <w:r w:rsidR="00B041D2" w:rsidRPr="009B2382">
              <w:rPr>
                <w:rFonts w:ascii="Cambria" w:eastAsia="Cambria" w:hAnsi="Cambria" w:cs="Cambria"/>
                <w:sz w:val="16"/>
                <w:szCs w:val="16"/>
              </w:rPr>
              <w:t>del</w:t>
            </w:r>
            <w:r w:rsidRPr="009B2382">
              <w:rPr>
                <w:rFonts w:ascii="Cambria" w:eastAsia="Cambria" w:hAnsi="Cambria" w:cs="Cambria"/>
                <w:sz w:val="16"/>
                <w:szCs w:val="16"/>
              </w:rPr>
              <w:t xml:space="preserve"> </w:t>
            </w:r>
            <w:r w:rsidR="0088018A" w:rsidRPr="005E15DD">
              <w:rPr>
                <w:rFonts w:ascii="Cambria" w:eastAsia="Cambria" w:hAnsi="Cambria" w:cs="Cambria"/>
                <w:b/>
                <w:bCs/>
                <w:sz w:val="16"/>
                <w:szCs w:val="16"/>
              </w:rPr>
              <w:t xml:space="preserve">Programa </w:t>
            </w:r>
            <w:r w:rsidR="00682292" w:rsidRPr="00682292">
              <w:rPr>
                <w:rFonts w:ascii="Cambria" w:eastAsia="Cambria" w:hAnsi="Cambria" w:cs="Cambria"/>
                <w:b/>
                <w:bCs/>
                <w:sz w:val="16"/>
                <w:szCs w:val="16"/>
              </w:rPr>
              <w:t>Jóvenes Escribiendo el Futuro</w:t>
            </w:r>
            <w:r w:rsidRPr="009B2382">
              <w:rPr>
                <w:rFonts w:ascii="Cambria" w:eastAsia="Cambria" w:hAnsi="Cambria" w:cs="Cambria"/>
                <w:sz w:val="16"/>
                <w:szCs w:val="16"/>
              </w:rPr>
              <w:t xml:space="preserve">, que permita valorar si dicha gestión cumple </w:t>
            </w:r>
            <w:r w:rsidRPr="00B42C5C">
              <w:rPr>
                <w:rFonts w:ascii="Cambria" w:eastAsia="Cambria" w:hAnsi="Cambria" w:cs="Cambria"/>
                <w:color w:val="000000"/>
                <w:sz w:val="16"/>
                <w:szCs w:val="16"/>
              </w:rPr>
              <w:t>con lo necesario para el logro de las metas y objetivos de</w:t>
            </w:r>
            <w:r w:rsidR="00B041D2">
              <w:rPr>
                <w:rFonts w:ascii="Cambria" w:eastAsia="Cambria" w:hAnsi="Cambria" w:cs="Cambria"/>
                <w:color w:val="000000"/>
                <w:sz w:val="16"/>
                <w:szCs w:val="16"/>
              </w:rPr>
              <w:t xml:space="preserve">l </w:t>
            </w:r>
            <w:r w:rsidR="00D84E2A">
              <w:rPr>
                <w:rFonts w:ascii="Cambria" w:eastAsia="Cambria" w:hAnsi="Cambria" w:cs="Cambria"/>
                <w:color w:val="000000"/>
                <w:sz w:val="16"/>
                <w:szCs w:val="16"/>
              </w:rPr>
              <w:t>Programa</w:t>
            </w:r>
            <w:r w:rsidRPr="00B42C5C">
              <w:rPr>
                <w:rFonts w:ascii="Cambria" w:eastAsia="Cambria" w:hAnsi="Cambria" w:cs="Cambria"/>
                <w:color w:val="000000"/>
                <w:sz w:val="16"/>
                <w:szCs w:val="16"/>
              </w:rPr>
              <w:t xml:space="preserve">. Así como, hacer recomendaciones que permitan la instrumentación de mejoras.  </w:t>
            </w:r>
          </w:p>
        </w:tc>
      </w:tr>
      <w:tr w:rsidR="00CF49B9" w14:paraId="54BAB56D" w14:textId="77777777" w:rsidTr="001422F7">
        <w:trPr>
          <w:trHeight w:val="583"/>
          <w:jc w:val="center"/>
        </w:trPr>
        <w:tc>
          <w:tcPr>
            <w:tcW w:w="2405" w:type="dxa"/>
            <w:gridSpan w:val="2"/>
            <w:shd w:val="clear" w:color="auto" w:fill="D9D9D9"/>
            <w:vAlign w:val="center"/>
          </w:tcPr>
          <w:p w14:paraId="199BB73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Tipo de evaluación: </w:t>
            </w:r>
          </w:p>
        </w:tc>
        <w:tc>
          <w:tcPr>
            <w:tcW w:w="3827" w:type="dxa"/>
            <w:gridSpan w:val="2"/>
            <w:shd w:val="clear" w:color="auto" w:fill="D9D9D9"/>
            <w:vAlign w:val="center"/>
          </w:tcPr>
          <w:p w14:paraId="05D10D68" w14:textId="59D526E6"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Evaluación de Procesos</w:t>
            </w:r>
          </w:p>
        </w:tc>
        <w:tc>
          <w:tcPr>
            <w:tcW w:w="906" w:type="dxa"/>
            <w:gridSpan w:val="2"/>
            <w:shd w:val="clear" w:color="auto" w:fill="D9D9D9"/>
            <w:vAlign w:val="center"/>
          </w:tcPr>
          <w:p w14:paraId="3FFC006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PAE: </w:t>
            </w:r>
          </w:p>
        </w:tc>
        <w:tc>
          <w:tcPr>
            <w:tcW w:w="1803" w:type="dxa"/>
            <w:shd w:val="clear" w:color="auto" w:fill="D9D9D9"/>
            <w:vAlign w:val="center"/>
          </w:tcPr>
          <w:p w14:paraId="41A792E2" w14:textId="7111873A"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2022</w:t>
            </w:r>
          </w:p>
        </w:tc>
      </w:tr>
      <w:tr w:rsidR="00CF49B9" w14:paraId="6431FB71" w14:textId="77777777" w:rsidTr="001422F7">
        <w:trPr>
          <w:trHeight w:val="583"/>
          <w:jc w:val="center"/>
        </w:trPr>
        <w:tc>
          <w:tcPr>
            <w:tcW w:w="1129" w:type="dxa"/>
            <w:shd w:val="clear" w:color="auto" w:fill="auto"/>
            <w:vAlign w:val="center"/>
          </w:tcPr>
          <w:p w14:paraId="19CF01D3" w14:textId="77777777" w:rsidR="00CF49B9" w:rsidRPr="00C16422" w:rsidRDefault="00CF49B9" w:rsidP="001422F7">
            <w:pPr>
              <w:pBdr>
                <w:top w:val="nil"/>
                <w:left w:val="nil"/>
                <w:bottom w:val="nil"/>
                <w:right w:val="nil"/>
                <w:between w:val="nil"/>
              </w:pBdr>
              <w:spacing w:after="0" w:line="240" w:lineRule="auto"/>
              <w:rPr>
                <w:rFonts w:ascii="Cambria" w:eastAsia="Cambria" w:hAnsi="Cambria" w:cs="Cambria"/>
                <w:b/>
                <w:sz w:val="16"/>
                <w:szCs w:val="16"/>
              </w:rPr>
            </w:pPr>
            <w:r w:rsidRPr="00C16422">
              <w:rPr>
                <w:rFonts w:ascii="Cambria" w:eastAsia="Cambria" w:hAnsi="Cambria" w:cs="Cambria"/>
                <w:b/>
                <w:sz w:val="16"/>
                <w:szCs w:val="16"/>
              </w:rPr>
              <w:t>Ramo:</w:t>
            </w:r>
          </w:p>
        </w:tc>
        <w:tc>
          <w:tcPr>
            <w:tcW w:w="7812" w:type="dxa"/>
            <w:gridSpan w:val="6"/>
            <w:shd w:val="clear" w:color="auto" w:fill="auto"/>
            <w:vAlign w:val="center"/>
          </w:tcPr>
          <w:p w14:paraId="3585AC5B" w14:textId="27C1B6E7" w:rsidR="00CF49B9" w:rsidRPr="00C16422" w:rsidRDefault="00532438" w:rsidP="001422F7">
            <w:pPr>
              <w:pBdr>
                <w:top w:val="nil"/>
                <w:left w:val="nil"/>
                <w:bottom w:val="nil"/>
                <w:right w:val="nil"/>
                <w:between w:val="nil"/>
              </w:pBdr>
              <w:spacing w:before="120" w:after="120" w:line="240" w:lineRule="auto"/>
              <w:rPr>
                <w:rFonts w:ascii="Cambria" w:eastAsia="Cambria" w:hAnsi="Cambria" w:cs="Cambria"/>
                <w:sz w:val="16"/>
                <w:szCs w:val="16"/>
              </w:rPr>
            </w:pPr>
            <w:r>
              <w:rPr>
                <w:rFonts w:ascii="Cambria" w:eastAsia="Cambria" w:hAnsi="Cambria" w:cs="Cambria"/>
                <w:sz w:val="16"/>
                <w:szCs w:val="16"/>
              </w:rPr>
              <w:t>11</w:t>
            </w:r>
            <w:r w:rsidR="00B041D2" w:rsidRPr="00C16422">
              <w:rPr>
                <w:rFonts w:ascii="Cambria" w:eastAsia="Cambria" w:hAnsi="Cambria" w:cs="Cambria"/>
                <w:sz w:val="16"/>
                <w:szCs w:val="16"/>
              </w:rPr>
              <w:t xml:space="preserve"> </w:t>
            </w:r>
            <w:proofErr w:type="gramStart"/>
            <w:r>
              <w:rPr>
                <w:rFonts w:ascii="Cambria" w:eastAsia="Cambria" w:hAnsi="Cambria" w:cs="Cambria"/>
                <w:sz w:val="16"/>
                <w:szCs w:val="16"/>
              </w:rPr>
              <w:t>Educación</w:t>
            </w:r>
            <w:proofErr w:type="gramEnd"/>
            <w:r w:rsidR="005E15DD">
              <w:rPr>
                <w:rFonts w:ascii="Cambria" w:eastAsia="Cambria" w:hAnsi="Cambria" w:cs="Cambria"/>
                <w:sz w:val="16"/>
                <w:szCs w:val="16"/>
              </w:rPr>
              <w:t xml:space="preserve"> Pública</w:t>
            </w:r>
          </w:p>
        </w:tc>
      </w:tr>
      <w:tr w:rsidR="00CF49B9" w14:paraId="027B0C2A" w14:textId="77777777" w:rsidTr="001422F7">
        <w:trPr>
          <w:trHeight w:val="583"/>
          <w:jc w:val="center"/>
        </w:trPr>
        <w:tc>
          <w:tcPr>
            <w:tcW w:w="1129" w:type="dxa"/>
            <w:shd w:val="clear" w:color="auto" w:fill="E7E6E6"/>
            <w:vAlign w:val="center"/>
          </w:tcPr>
          <w:p w14:paraId="6C881C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Modalidad y Clave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1276" w:type="dxa"/>
            <w:shd w:val="clear" w:color="auto" w:fill="E7E6E6"/>
            <w:vAlign w:val="center"/>
          </w:tcPr>
          <w:p w14:paraId="3CC6D7BE" w14:textId="28089C98"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S</w:t>
            </w:r>
            <w:r w:rsidR="00682292">
              <w:rPr>
                <w:rFonts w:ascii="Cambria" w:eastAsia="Cambria" w:hAnsi="Cambria" w:cs="Cambria"/>
                <w:color w:val="000000"/>
                <w:sz w:val="16"/>
                <w:szCs w:val="16"/>
              </w:rPr>
              <w:t>283</w:t>
            </w:r>
          </w:p>
        </w:tc>
        <w:tc>
          <w:tcPr>
            <w:tcW w:w="2126" w:type="dxa"/>
            <w:shd w:val="clear" w:color="auto" w:fill="E7E6E6"/>
            <w:vAlign w:val="center"/>
          </w:tcPr>
          <w:p w14:paraId="334F6F10"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4410" w:type="dxa"/>
            <w:gridSpan w:val="4"/>
            <w:shd w:val="clear" w:color="auto" w:fill="E7E6E6"/>
            <w:vAlign w:val="center"/>
          </w:tcPr>
          <w:p w14:paraId="709796A4" w14:textId="51047198" w:rsidR="00CF49B9" w:rsidRDefault="00682292" w:rsidP="001422F7">
            <w:pPr>
              <w:pBdr>
                <w:top w:val="nil"/>
                <w:left w:val="nil"/>
                <w:bottom w:val="nil"/>
                <w:right w:val="nil"/>
                <w:between w:val="nil"/>
              </w:pBdr>
              <w:spacing w:before="20" w:after="0" w:line="240" w:lineRule="auto"/>
              <w:rPr>
                <w:rFonts w:ascii="Cambria" w:eastAsia="Cambria" w:hAnsi="Cambria" w:cs="Cambria"/>
                <w:i/>
                <w:color w:val="000000"/>
                <w:sz w:val="16"/>
                <w:szCs w:val="16"/>
              </w:rPr>
            </w:pPr>
            <w:r w:rsidRPr="00682292">
              <w:rPr>
                <w:rFonts w:ascii="Cambria" w:eastAsia="Cambria" w:hAnsi="Cambria" w:cs="Cambria"/>
                <w:color w:val="000000"/>
                <w:sz w:val="16"/>
                <w:szCs w:val="16"/>
              </w:rPr>
              <w:t>Jóvenes Escribiendo el Futuro</w:t>
            </w:r>
          </w:p>
        </w:tc>
      </w:tr>
      <w:tr w:rsidR="00CF49B9" w14:paraId="18F56C4E" w14:textId="77777777" w:rsidTr="001422F7">
        <w:trPr>
          <w:trHeight w:val="583"/>
          <w:jc w:val="center"/>
        </w:trPr>
        <w:tc>
          <w:tcPr>
            <w:tcW w:w="2405" w:type="dxa"/>
            <w:gridSpan w:val="2"/>
            <w:shd w:val="clear" w:color="auto" w:fill="auto"/>
            <w:vAlign w:val="center"/>
          </w:tcPr>
          <w:p w14:paraId="458E6107" w14:textId="77777777" w:rsidR="00CF49B9" w:rsidRPr="00C16422" w:rsidRDefault="00CF49B9" w:rsidP="001422F7">
            <w:pPr>
              <w:pBdr>
                <w:top w:val="nil"/>
                <w:left w:val="nil"/>
                <w:bottom w:val="nil"/>
                <w:right w:val="nil"/>
                <w:between w:val="nil"/>
              </w:pBdr>
              <w:spacing w:before="20" w:after="0" w:line="240" w:lineRule="auto"/>
              <w:rPr>
                <w:rFonts w:ascii="Cambria" w:eastAsia="Cambria" w:hAnsi="Cambria" w:cs="Cambria"/>
                <w:b/>
                <w:sz w:val="16"/>
                <w:szCs w:val="16"/>
              </w:rPr>
            </w:pPr>
            <w:r w:rsidRPr="00C16422">
              <w:rPr>
                <w:rFonts w:ascii="Cambria" w:eastAsia="Cambria" w:hAnsi="Cambria" w:cs="Cambria"/>
                <w:b/>
                <w:sz w:val="16"/>
                <w:szCs w:val="16"/>
              </w:rPr>
              <w:t>Unidad Responsable (UR):</w:t>
            </w:r>
          </w:p>
        </w:tc>
        <w:tc>
          <w:tcPr>
            <w:tcW w:w="6536" w:type="dxa"/>
            <w:gridSpan w:val="5"/>
            <w:shd w:val="clear" w:color="auto" w:fill="auto"/>
            <w:vAlign w:val="center"/>
          </w:tcPr>
          <w:p w14:paraId="022D251D" w14:textId="30EE0880" w:rsidR="00CF49B9" w:rsidRPr="00C16422" w:rsidRDefault="00B81ADE" w:rsidP="001422F7">
            <w:pPr>
              <w:pBdr>
                <w:top w:val="nil"/>
                <w:left w:val="nil"/>
                <w:bottom w:val="nil"/>
                <w:right w:val="nil"/>
                <w:between w:val="nil"/>
              </w:pBdr>
              <w:spacing w:before="20" w:after="0" w:line="240" w:lineRule="auto"/>
              <w:rPr>
                <w:rFonts w:ascii="Cambria" w:eastAsia="Cambria" w:hAnsi="Cambria" w:cs="Cambria"/>
                <w:sz w:val="16"/>
                <w:szCs w:val="16"/>
                <w:highlight w:val="yellow"/>
              </w:rPr>
            </w:pPr>
            <w:r w:rsidRPr="00B81ADE">
              <w:rPr>
                <w:rFonts w:ascii="Cambria" w:eastAsia="Cambria" w:hAnsi="Cambria" w:cs="Cambria"/>
                <w:sz w:val="16"/>
                <w:szCs w:val="16"/>
              </w:rPr>
              <w:t>Coordinación Nacional de Becas para el Bienestar Benito Juárez (CNBBBJ)</w:t>
            </w:r>
          </w:p>
        </w:tc>
      </w:tr>
      <w:tr w:rsidR="00CF49B9" w14:paraId="6E149FBC" w14:textId="77777777" w:rsidTr="001422F7">
        <w:trPr>
          <w:trHeight w:val="583"/>
          <w:jc w:val="center"/>
        </w:trPr>
        <w:tc>
          <w:tcPr>
            <w:tcW w:w="2405" w:type="dxa"/>
            <w:gridSpan w:val="2"/>
            <w:shd w:val="clear" w:color="auto" w:fill="auto"/>
            <w:vAlign w:val="center"/>
          </w:tcPr>
          <w:p w14:paraId="1A48AA9B" w14:textId="77777777" w:rsidR="00CF49B9" w:rsidRPr="00B23A0A"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sidRPr="00B23A0A">
              <w:rPr>
                <w:rFonts w:ascii="Cambria" w:eastAsia="Cambria" w:hAnsi="Cambria" w:cs="Cambria"/>
                <w:b/>
                <w:color w:val="000000"/>
                <w:sz w:val="16"/>
                <w:szCs w:val="16"/>
              </w:rPr>
              <w:t xml:space="preserve">Área de Evaluación de la dependencia (AE):  </w:t>
            </w:r>
          </w:p>
        </w:tc>
        <w:tc>
          <w:tcPr>
            <w:tcW w:w="6536" w:type="dxa"/>
            <w:gridSpan w:val="5"/>
            <w:shd w:val="clear" w:color="auto" w:fill="auto"/>
            <w:vAlign w:val="center"/>
          </w:tcPr>
          <w:p w14:paraId="70C5C49D" w14:textId="4DF95ABF" w:rsidR="00CF49B9" w:rsidRPr="00B23A0A" w:rsidRDefault="00B81ADE" w:rsidP="00770106">
            <w:pPr>
              <w:pBdr>
                <w:top w:val="nil"/>
                <w:left w:val="nil"/>
                <w:bottom w:val="nil"/>
                <w:right w:val="nil"/>
                <w:between w:val="nil"/>
              </w:pBdr>
              <w:spacing w:before="20" w:after="0" w:line="240" w:lineRule="auto"/>
              <w:rPr>
                <w:rFonts w:ascii="Cambria" w:eastAsia="Cambria" w:hAnsi="Cambria" w:cs="Cambria"/>
                <w:color w:val="000000"/>
                <w:sz w:val="16"/>
                <w:szCs w:val="16"/>
              </w:rPr>
            </w:pPr>
            <w:r w:rsidRPr="00B81ADE">
              <w:rPr>
                <w:rFonts w:ascii="Cambria" w:eastAsia="Cambria" w:hAnsi="Cambria" w:cs="Cambria"/>
                <w:color w:val="000000"/>
                <w:sz w:val="16"/>
                <w:szCs w:val="16"/>
              </w:rPr>
              <w:t>Dirección General de Planeación, Análisis, Evaluación y Monitoreo</w:t>
            </w:r>
            <w:r>
              <w:rPr>
                <w:rFonts w:ascii="Cambria" w:eastAsia="Cambria" w:hAnsi="Cambria" w:cs="Cambria"/>
                <w:color w:val="000000"/>
                <w:sz w:val="16"/>
                <w:szCs w:val="16"/>
              </w:rPr>
              <w:t xml:space="preserve"> (</w:t>
            </w:r>
            <w:r w:rsidRPr="00B81ADE">
              <w:rPr>
                <w:rFonts w:ascii="Cambria" w:eastAsia="Cambria" w:hAnsi="Cambria" w:cs="Cambria"/>
                <w:color w:val="000000"/>
                <w:sz w:val="16"/>
                <w:szCs w:val="16"/>
              </w:rPr>
              <w:t>DGPAEM</w:t>
            </w:r>
            <w:r>
              <w:rPr>
                <w:rFonts w:ascii="Cambria" w:eastAsia="Cambria" w:hAnsi="Cambria" w:cs="Cambria"/>
                <w:color w:val="000000"/>
                <w:sz w:val="16"/>
                <w:szCs w:val="16"/>
              </w:rPr>
              <w:t>)</w:t>
            </w:r>
          </w:p>
        </w:tc>
      </w:tr>
      <w:tr w:rsidR="00CF49B9" w14:paraId="02685FF9" w14:textId="77777777" w:rsidTr="001422F7">
        <w:trPr>
          <w:trHeight w:val="317"/>
          <w:jc w:val="center"/>
        </w:trPr>
        <w:tc>
          <w:tcPr>
            <w:tcW w:w="2405" w:type="dxa"/>
            <w:gridSpan w:val="2"/>
            <w:vMerge w:val="restart"/>
            <w:shd w:val="clear" w:color="auto" w:fill="E7E6E6"/>
            <w:vAlign w:val="center"/>
          </w:tcPr>
          <w:p w14:paraId="2840F44C"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Instancia Evaluadora (IE): </w:t>
            </w:r>
          </w:p>
        </w:tc>
        <w:tc>
          <w:tcPr>
            <w:tcW w:w="2126" w:type="dxa"/>
            <w:shd w:val="clear" w:color="auto" w:fill="E7E6E6"/>
            <w:vAlign w:val="center"/>
          </w:tcPr>
          <w:p w14:paraId="5EE8CAF8"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
        </w:tc>
        <w:tc>
          <w:tcPr>
            <w:tcW w:w="4410" w:type="dxa"/>
            <w:gridSpan w:val="4"/>
            <w:shd w:val="clear" w:color="auto" w:fill="E7E6E6"/>
            <w:vAlign w:val="center"/>
          </w:tcPr>
          <w:p w14:paraId="23BF7140" w14:textId="68093421" w:rsidR="00CF49B9" w:rsidRDefault="00547A90" w:rsidP="001422F7">
            <w:pPr>
              <w:pBdr>
                <w:top w:val="nil"/>
                <w:left w:val="nil"/>
                <w:bottom w:val="nil"/>
                <w:right w:val="nil"/>
                <w:between w:val="nil"/>
              </w:pBdr>
              <w:spacing w:after="0" w:line="240" w:lineRule="auto"/>
              <w:rPr>
                <w:rFonts w:ascii="Soberana Sans" w:eastAsia="Soberana Sans" w:hAnsi="Soberana Sans" w:cs="Soberana Sans"/>
                <w:color w:val="000000"/>
                <w:sz w:val="12"/>
                <w:szCs w:val="12"/>
              </w:rPr>
            </w:pPr>
            <w:r w:rsidRPr="00547A90">
              <w:rPr>
                <w:rFonts w:ascii="Cambria" w:eastAsia="Cambria" w:hAnsi="Cambria" w:cs="Cambria"/>
                <w:color w:val="000000"/>
                <w:sz w:val="16"/>
                <w:szCs w:val="16"/>
              </w:rPr>
              <w:t>COCOA Services S.C.</w:t>
            </w:r>
          </w:p>
        </w:tc>
      </w:tr>
      <w:tr w:rsidR="00CF49B9" w14:paraId="339EC670" w14:textId="77777777" w:rsidTr="001422F7">
        <w:trPr>
          <w:trHeight w:val="293"/>
          <w:jc w:val="center"/>
        </w:trPr>
        <w:tc>
          <w:tcPr>
            <w:tcW w:w="2405" w:type="dxa"/>
            <w:gridSpan w:val="2"/>
            <w:vMerge/>
            <w:shd w:val="clear" w:color="auto" w:fill="E7E6E6"/>
            <w:vAlign w:val="center"/>
          </w:tcPr>
          <w:p w14:paraId="79367E03" w14:textId="77777777" w:rsidR="00CF49B9" w:rsidRDefault="00CF49B9" w:rsidP="001422F7">
            <w:pPr>
              <w:widowControl w:val="0"/>
              <w:pBdr>
                <w:top w:val="nil"/>
                <w:left w:val="nil"/>
                <w:bottom w:val="nil"/>
                <w:right w:val="nil"/>
                <w:between w:val="nil"/>
              </w:pBdr>
              <w:spacing w:after="0"/>
              <w:rPr>
                <w:rFonts w:ascii="Soberana Sans" w:eastAsia="Soberana Sans" w:hAnsi="Soberana Sans" w:cs="Soberana Sans"/>
                <w:color w:val="000000"/>
                <w:sz w:val="12"/>
                <w:szCs w:val="12"/>
              </w:rPr>
            </w:pPr>
          </w:p>
        </w:tc>
        <w:tc>
          <w:tcPr>
            <w:tcW w:w="2126" w:type="dxa"/>
            <w:shd w:val="clear" w:color="auto" w:fill="E7E6E6"/>
            <w:vAlign w:val="center"/>
          </w:tcPr>
          <w:p w14:paraId="3A8D3FE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Coordinador(a):</w:t>
            </w:r>
          </w:p>
        </w:tc>
        <w:tc>
          <w:tcPr>
            <w:tcW w:w="4410" w:type="dxa"/>
            <w:gridSpan w:val="4"/>
            <w:shd w:val="clear" w:color="auto" w:fill="E7E6E6"/>
            <w:vAlign w:val="center"/>
          </w:tcPr>
          <w:p w14:paraId="57D8CF8A" w14:textId="2DE56297" w:rsidR="00CF49B9" w:rsidRPr="000A3C98" w:rsidRDefault="00547A90" w:rsidP="001422F7">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Jimena Hernández Fernández</w:t>
            </w:r>
          </w:p>
        </w:tc>
      </w:tr>
      <w:tr w:rsidR="00CF49B9" w14:paraId="4BEB9A2E" w14:textId="77777777" w:rsidTr="001422F7">
        <w:trPr>
          <w:trHeight w:val="397"/>
          <w:jc w:val="center"/>
        </w:trPr>
        <w:tc>
          <w:tcPr>
            <w:tcW w:w="2405" w:type="dxa"/>
            <w:gridSpan w:val="2"/>
            <w:vMerge/>
            <w:shd w:val="clear" w:color="auto" w:fill="E7E6E6"/>
            <w:vAlign w:val="center"/>
          </w:tcPr>
          <w:p w14:paraId="6D2F8057" w14:textId="77777777" w:rsidR="00CF49B9" w:rsidRDefault="00CF49B9" w:rsidP="001422F7">
            <w:pPr>
              <w:widowControl w:val="0"/>
              <w:pBdr>
                <w:top w:val="nil"/>
                <w:left w:val="nil"/>
                <w:bottom w:val="nil"/>
                <w:right w:val="nil"/>
                <w:between w:val="nil"/>
              </w:pBdr>
              <w:spacing w:after="0"/>
              <w:rPr>
                <w:rFonts w:ascii="Cambria" w:eastAsia="Cambria" w:hAnsi="Cambria" w:cs="Cambria"/>
                <w:color w:val="000000"/>
                <w:sz w:val="16"/>
                <w:szCs w:val="16"/>
              </w:rPr>
            </w:pPr>
          </w:p>
        </w:tc>
        <w:tc>
          <w:tcPr>
            <w:tcW w:w="2126" w:type="dxa"/>
            <w:shd w:val="clear" w:color="auto" w:fill="E7E6E6"/>
            <w:vAlign w:val="center"/>
          </w:tcPr>
          <w:p w14:paraId="525B78A6"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Colaboradores(as):</w:t>
            </w:r>
          </w:p>
        </w:tc>
        <w:tc>
          <w:tcPr>
            <w:tcW w:w="4410" w:type="dxa"/>
            <w:gridSpan w:val="4"/>
            <w:shd w:val="clear" w:color="auto" w:fill="E7E6E6"/>
            <w:vAlign w:val="center"/>
          </w:tcPr>
          <w:p w14:paraId="06ADBA2B"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Cáceres Castrillón, Germán Paul</w:t>
            </w:r>
          </w:p>
          <w:p w14:paraId="51CBB213"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Franco Vasco, Diana María</w:t>
            </w:r>
          </w:p>
          <w:p w14:paraId="0E7B746C"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 xml:space="preserve">Hernández Fernández, Jimena </w:t>
            </w:r>
          </w:p>
          <w:p w14:paraId="312E0DD4"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Herrera Bautista, María del Carmen</w:t>
            </w:r>
          </w:p>
          <w:p w14:paraId="4ED55981"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Razo Pérez, Ana Elizabeth</w:t>
            </w:r>
          </w:p>
          <w:p w14:paraId="69D77B62"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Romero Pérez-Grovas, Carolina</w:t>
            </w:r>
          </w:p>
          <w:p w14:paraId="0AA5506C"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Asesora: Claudia Mir Cervantes</w:t>
            </w:r>
          </w:p>
          <w:p w14:paraId="1A3059A4" w14:textId="030AEF58" w:rsidR="00CF49B9" w:rsidRPr="000A3C98"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Asistentes de investigación: Jorge Luis González Cruz y Mónica Torres Valencia.</w:t>
            </w:r>
          </w:p>
        </w:tc>
      </w:tr>
      <w:tr w:rsidR="00CF49B9" w14:paraId="3A9D2D4E" w14:textId="77777777" w:rsidTr="001422F7">
        <w:trPr>
          <w:trHeight w:val="583"/>
          <w:jc w:val="center"/>
        </w:trPr>
        <w:tc>
          <w:tcPr>
            <w:tcW w:w="2405" w:type="dxa"/>
            <w:gridSpan w:val="2"/>
            <w:shd w:val="clear" w:color="auto" w:fill="auto"/>
            <w:vAlign w:val="center"/>
          </w:tcPr>
          <w:p w14:paraId="2886B9FE"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Procedimiento de contratación:</w:t>
            </w:r>
          </w:p>
        </w:tc>
        <w:tc>
          <w:tcPr>
            <w:tcW w:w="2126" w:type="dxa"/>
            <w:shd w:val="clear" w:color="auto" w:fill="auto"/>
            <w:vAlign w:val="center"/>
          </w:tcPr>
          <w:p w14:paraId="539A1299" w14:textId="4545C10B"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Licitación Pública Nacional</w:t>
            </w:r>
            <w:r w:rsidR="000A3C98">
              <w:rPr>
                <w:rFonts w:ascii="Cambria" w:eastAsia="Cambria" w:hAnsi="Cambria" w:cs="Cambria"/>
                <w:color w:val="000000"/>
                <w:sz w:val="16"/>
                <w:szCs w:val="16"/>
              </w:rPr>
              <w:t xml:space="preserve"> Electrónica</w:t>
            </w:r>
          </w:p>
        </w:tc>
        <w:tc>
          <w:tcPr>
            <w:tcW w:w="2144" w:type="dxa"/>
            <w:gridSpan w:val="2"/>
            <w:shd w:val="clear" w:color="auto" w:fill="auto"/>
            <w:vAlign w:val="center"/>
          </w:tcPr>
          <w:p w14:paraId="58C862CE"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Costo de la evaluación:</w:t>
            </w:r>
          </w:p>
        </w:tc>
        <w:tc>
          <w:tcPr>
            <w:tcW w:w="2266" w:type="dxa"/>
            <w:gridSpan w:val="2"/>
            <w:shd w:val="clear" w:color="auto" w:fill="auto"/>
            <w:vAlign w:val="center"/>
          </w:tcPr>
          <w:p w14:paraId="55EF8811" w14:textId="4DB996FA" w:rsidR="00B42149" w:rsidRDefault="00B42149" w:rsidP="00B42149">
            <w:pPr>
              <w:pBdr>
                <w:top w:val="nil"/>
                <w:left w:val="nil"/>
                <w:bottom w:val="nil"/>
                <w:right w:val="nil"/>
                <w:between w:val="nil"/>
              </w:pBdr>
              <w:spacing w:after="0" w:line="240" w:lineRule="auto"/>
              <w:rPr>
                <w:rFonts w:ascii="Cambria" w:eastAsia="Cambria" w:hAnsi="Cambria" w:cs="Cambria"/>
                <w:color w:val="000000"/>
                <w:sz w:val="16"/>
                <w:szCs w:val="16"/>
              </w:rPr>
            </w:pPr>
            <w:r w:rsidRPr="00B42149">
              <w:rPr>
                <w:rFonts w:ascii="Cambria" w:eastAsia="Cambria" w:hAnsi="Cambria" w:cs="Cambria"/>
                <w:color w:val="000000"/>
                <w:sz w:val="16"/>
                <w:szCs w:val="16"/>
              </w:rPr>
              <w:t>$2,871,000.00 (</w:t>
            </w:r>
            <w:r w:rsidR="0078365A" w:rsidRPr="00B42149">
              <w:rPr>
                <w:rFonts w:ascii="Cambria" w:eastAsia="Cambria" w:hAnsi="Cambria" w:cs="Cambria"/>
                <w:color w:val="000000"/>
                <w:sz w:val="16"/>
                <w:szCs w:val="16"/>
              </w:rPr>
              <w:t xml:space="preserve">DOS MILLONES OCHOCIENTOS SETENTA Y UN MIL </w:t>
            </w:r>
            <w:r w:rsidRPr="00B42149">
              <w:rPr>
                <w:rFonts w:ascii="Cambria" w:eastAsia="Cambria" w:hAnsi="Cambria" w:cs="Cambria"/>
                <w:color w:val="000000"/>
                <w:sz w:val="16"/>
                <w:szCs w:val="16"/>
              </w:rPr>
              <w:t>pesos</w:t>
            </w:r>
            <w:r>
              <w:rPr>
                <w:rFonts w:ascii="Cambria" w:eastAsia="Cambria" w:hAnsi="Cambria" w:cs="Cambria"/>
                <w:color w:val="000000"/>
                <w:sz w:val="16"/>
                <w:szCs w:val="16"/>
              </w:rPr>
              <w:t xml:space="preserve"> </w:t>
            </w:r>
            <w:r w:rsidRPr="00B42149">
              <w:rPr>
                <w:rFonts w:ascii="Cambria" w:eastAsia="Cambria" w:hAnsi="Cambria" w:cs="Cambria"/>
                <w:color w:val="000000"/>
                <w:sz w:val="16"/>
                <w:szCs w:val="16"/>
              </w:rPr>
              <w:t>00/100 M.N.) cantidad que incluye el Impuesto al Valor Agregado.</w:t>
            </w:r>
          </w:p>
          <w:p w14:paraId="1A834FE8" w14:textId="6B468E76" w:rsidR="007954FF" w:rsidRDefault="007954FF" w:rsidP="00B42149">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Costo total del proyecto “</w:t>
            </w:r>
            <w:r w:rsidR="00B42149" w:rsidRPr="00B42149">
              <w:rPr>
                <w:rFonts w:ascii="Cambria" w:eastAsia="Cambria" w:hAnsi="Cambria" w:cs="Cambria"/>
                <w:color w:val="000000"/>
                <w:sz w:val="16"/>
                <w:szCs w:val="16"/>
              </w:rPr>
              <w:t>Evaluación de procesos a tres programas prioritarios de becas educativas</w:t>
            </w:r>
            <w:r>
              <w:rPr>
                <w:rFonts w:ascii="Cambria" w:eastAsia="Cambria" w:hAnsi="Cambria" w:cs="Cambria"/>
                <w:color w:val="000000"/>
                <w:sz w:val="16"/>
                <w:szCs w:val="16"/>
              </w:rPr>
              <w:t>”, dentro del cual se realizó esta evaluación.</w:t>
            </w:r>
          </w:p>
        </w:tc>
      </w:tr>
      <w:tr w:rsidR="00CF49B9" w14:paraId="7BB3E56C" w14:textId="77777777" w:rsidTr="001422F7">
        <w:trPr>
          <w:trHeight w:val="583"/>
          <w:jc w:val="center"/>
        </w:trPr>
        <w:tc>
          <w:tcPr>
            <w:tcW w:w="2405" w:type="dxa"/>
            <w:gridSpan w:val="2"/>
            <w:shd w:val="clear" w:color="auto" w:fill="auto"/>
            <w:vAlign w:val="center"/>
          </w:tcPr>
          <w:p w14:paraId="3ADFE1C1"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Tipo de contratación:</w:t>
            </w:r>
          </w:p>
        </w:tc>
        <w:tc>
          <w:tcPr>
            <w:tcW w:w="2126" w:type="dxa"/>
            <w:shd w:val="clear" w:color="auto" w:fill="auto"/>
            <w:vAlign w:val="center"/>
          </w:tcPr>
          <w:p w14:paraId="39E4697A" w14:textId="00FE80FE" w:rsidR="00CF49B9" w:rsidRDefault="000A3C98"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Individual</w:t>
            </w:r>
          </w:p>
        </w:tc>
        <w:tc>
          <w:tcPr>
            <w:tcW w:w="2144" w:type="dxa"/>
            <w:gridSpan w:val="2"/>
            <w:shd w:val="clear" w:color="auto" w:fill="auto"/>
            <w:vAlign w:val="center"/>
          </w:tcPr>
          <w:p w14:paraId="0AAF4849"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Fuente de financiamiento:</w:t>
            </w:r>
          </w:p>
        </w:tc>
        <w:tc>
          <w:tcPr>
            <w:tcW w:w="2266" w:type="dxa"/>
            <w:gridSpan w:val="2"/>
            <w:shd w:val="clear" w:color="auto" w:fill="auto"/>
            <w:vAlign w:val="center"/>
          </w:tcPr>
          <w:p w14:paraId="235F59D0" w14:textId="77777777" w:rsidR="000A3C98" w:rsidRDefault="000A3C98"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 xml:space="preserve">Recursos federales </w:t>
            </w:r>
          </w:p>
          <w:p w14:paraId="0174DFA1" w14:textId="38FB7FB7"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7954FF">
              <w:rPr>
                <w:rFonts w:ascii="Cambria" w:eastAsia="Cambria" w:hAnsi="Cambria" w:cs="Cambria"/>
                <w:color w:val="000000"/>
                <w:sz w:val="16"/>
                <w:szCs w:val="16"/>
              </w:rPr>
              <w:t>Partida presupuestal 33501 “Estudios e investigaciones”</w:t>
            </w:r>
          </w:p>
        </w:tc>
      </w:tr>
      <w:tr w:rsidR="00CF49B9" w14:paraId="007C6984" w14:textId="77777777" w:rsidTr="001422F7">
        <w:trPr>
          <w:trHeight w:val="583"/>
          <w:jc w:val="center"/>
        </w:trPr>
        <w:tc>
          <w:tcPr>
            <w:tcW w:w="2405" w:type="dxa"/>
            <w:gridSpan w:val="2"/>
            <w:shd w:val="clear" w:color="auto" w:fill="D9D9D9"/>
            <w:vAlign w:val="center"/>
          </w:tcPr>
          <w:p w14:paraId="3F755A7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Instancia de coordinación de la evaluación:</w:t>
            </w:r>
          </w:p>
        </w:tc>
        <w:tc>
          <w:tcPr>
            <w:tcW w:w="6536" w:type="dxa"/>
            <w:gridSpan w:val="5"/>
            <w:shd w:val="clear" w:color="auto" w:fill="D9D9D9"/>
            <w:vAlign w:val="center"/>
          </w:tcPr>
          <w:p w14:paraId="141B9053" w14:textId="152DE639"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Consejo Nacional de Evaluación de la Política de Desarrollo Social (CONEVAL)</w:t>
            </w:r>
          </w:p>
        </w:tc>
      </w:tr>
    </w:tbl>
    <w:p w14:paraId="2BD371F0" w14:textId="77777777" w:rsidR="0078365A" w:rsidRDefault="0078365A" w:rsidP="00CF49B9">
      <w:pPr>
        <w:pBdr>
          <w:top w:val="nil"/>
          <w:left w:val="nil"/>
          <w:bottom w:val="nil"/>
          <w:right w:val="nil"/>
          <w:between w:val="nil"/>
        </w:pBdr>
        <w:spacing w:after="120" w:line="240" w:lineRule="auto"/>
        <w:jc w:val="both"/>
        <w:rPr>
          <w:rFonts w:ascii="Cambria" w:eastAsia="Cambria" w:hAnsi="Cambria" w:cs="Cambria"/>
          <w:b/>
          <w:color w:val="000000"/>
        </w:rPr>
      </w:pPr>
    </w:p>
    <w:p w14:paraId="5BE65C0B" w14:textId="3A6ABCA2" w:rsidR="00CF49B9" w:rsidRDefault="00CF49B9" w:rsidP="00CF49B9">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Descripción del Programa</w:t>
      </w:r>
      <w:r w:rsidR="000A3C98">
        <w:rPr>
          <w:rFonts w:ascii="Cambria" w:eastAsia="Cambria" w:hAnsi="Cambria" w:cs="Cambria"/>
          <w:b/>
          <w:color w:val="000000"/>
        </w:rPr>
        <w:t xml:space="preserve"> </w:t>
      </w:r>
    </w:p>
    <w:p w14:paraId="34CF05E5" w14:textId="0AF27B8D" w:rsidR="0078365A" w:rsidRPr="0078365A" w:rsidRDefault="0078365A" w:rsidP="0078365A">
      <w:pPr>
        <w:pBdr>
          <w:top w:val="nil"/>
          <w:left w:val="nil"/>
          <w:bottom w:val="nil"/>
          <w:right w:val="nil"/>
          <w:between w:val="nil"/>
        </w:pBdr>
        <w:spacing w:after="120" w:line="240" w:lineRule="auto"/>
        <w:jc w:val="both"/>
        <w:rPr>
          <w:rFonts w:ascii="Cambria" w:eastAsia="Cambria" w:hAnsi="Cambria" w:cs="Cambria"/>
          <w:color w:val="000000"/>
        </w:rPr>
      </w:pPr>
      <w:r w:rsidRPr="0078365A">
        <w:rPr>
          <w:rFonts w:ascii="Cambria" w:eastAsia="Cambria" w:hAnsi="Cambria" w:cs="Cambria"/>
          <w:color w:val="000000"/>
        </w:rPr>
        <w:t>El Programa Jóvenes Escribiendo el Futuro</w:t>
      </w:r>
      <w:r>
        <w:rPr>
          <w:rFonts w:ascii="Cambria" w:eastAsia="Cambria" w:hAnsi="Cambria" w:cs="Cambria"/>
          <w:color w:val="000000"/>
        </w:rPr>
        <w:t xml:space="preserve"> (S283)</w:t>
      </w:r>
      <w:r w:rsidRPr="0078365A">
        <w:rPr>
          <w:rFonts w:ascii="Cambria" w:eastAsia="Cambria" w:hAnsi="Cambria" w:cs="Cambria"/>
          <w:color w:val="000000"/>
        </w:rPr>
        <w:t xml:space="preserve"> tiene como objetivo fomentar que las y los alumnos beneficiarios inscritos en una Institución Pública de Educación Superior (IPES) permanezcan y concluyan este tipo educativo, mediante la entrega de una beca de $4,800.00 </w:t>
      </w:r>
      <w:r w:rsidRPr="0078365A">
        <w:rPr>
          <w:rFonts w:ascii="Cambria" w:eastAsia="Cambria" w:hAnsi="Cambria" w:cs="Cambria"/>
          <w:color w:val="000000"/>
        </w:rPr>
        <w:lastRenderedPageBreak/>
        <w:t>pesos a cada becario. El pago se realiza de forma bimestral y la beca cubre diez meses a lo largo del ciclo escolar por un máximo de cuatro años y medio (la duración promedio de los estudios superiores).</w:t>
      </w:r>
    </w:p>
    <w:p w14:paraId="676A0057" w14:textId="78C6F849" w:rsidR="0078365A" w:rsidRDefault="00D84E2A" w:rsidP="00680289">
      <w:pPr>
        <w:pBdr>
          <w:top w:val="nil"/>
          <w:left w:val="nil"/>
          <w:bottom w:val="nil"/>
          <w:right w:val="nil"/>
          <w:between w:val="nil"/>
        </w:pBdr>
        <w:spacing w:after="120" w:line="240" w:lineRule="auto"/>
        <w:jc w:val="both"/>
        <w:rPr>
          <w:rFonts w:ascii="Cambria" w:eastAsia="Cambria" w:hAnsi="Cambria" w:cs="Cambria"/>
          <w:color w:val="000000"/>
        </w:rPr>
      </w:pPr>
      <w:r w:rsidRPr="0078365A">
        <w:rPr>
          <w:rFonts w:ascii="Cambria" w:eastAsia="Cambria" w:hAnsi="Cambria" w:cs="Cambria"/>
          <w:color w:val="000000"/>
        </w:rPr>
        <w:t>Hay dos modalidades de beneficiarios del Programa: la primera consiste en las y los jóvenes matriculados en alguna IPES prioritaria que no reciben otra beca educativa, y la segunda consiste en los alumnos que no están matriculados en IPES prioritarias que pueden solicitar su incorporación si tienen hasta 29 años y un ingreso estimado mensual per cápita menor a la Línea de Pobreza por Ingresos.</w:t>
      </w:r>
      <w:r>
        <w:rPr>
          <w:rFonts w:ascii="Cambria" w:eastAsia="Cambria" w:hAnsi="Cambria" w:cs="Cambria"/>
          <w:color w:val="000000"/>
        </w:rPr>
        <w:t xml:space="preserve"> </w:t>
      </w:r>
      <w:r w:rsidR="0078365A" w:rsidRPr="0078365A">
        <w:rPr>
          <w:rFonts w:ascii="Cambria" w:eastAsia="Cambria" w:hAnsi="Cambria" w:cs="Cambria"/>
          <w:color w:val="000000"/>
        </w:rPr>
        <w:t>El Programa enfoca su atención en escuelas prioritarias o IPES de cobertura total</w:t>
      </w:r>
      <w:r>
        <w:rPr>
          <w:rFonts w:ascii="Cambria" w:eastAsia="Cambria" w:hAnsi="Cambria" w:cs="Cambria"/>
          <w:color w:val="000000"/>
        </w:rPr>
        <w:t xml:space="preserve">, </w:t>
      </w:r>
      <w:r w:rsidR="0078365A" w:rsidRPr="0078365A">
        <w:rPr>
          <w:rFonts w:ascii="Cambria" w:eastAsia="Cambria" w:hAnsi="Cambria" w:cs="Cambria"/>
          <w:color w:val="000000"/>
        </w:rPr>
        <w:t>en donde entrega becas a toda la población matriculada</w:t>
      </w:r>
      <w:r>
        <w:rPr>
          <w:rFonts w:ascii="Cambria" w:eastAsia="Cambria" w:hAnsi="Cambria" w:cs="Cambria"/>
          <w:color w:val="000000"/>
        </w:rPr>
        <w:t xml:space="preserve"> que cumpla con los criterios de selección</w:t>
      </w:r>
      <w:r w:rsidR="0078365A" w:rsidRPr="0078365A">
        <w:rPr>
          <w:rFonts w:ascii="Cambria" w:eastAsia="Cambria" w:hAnsi="Cambria" w:cs="Cambria"/>
          <w:color w:val="000000"/>
        </w:rPr>
        <w:t xml:space="preserve">. Las IPES consideradas escuelas prioritarias son: Universidades Interculturales; Escuelas Normales Indígenas; Escuelas Normales que imparten el modelo de educación intercultural; Escuelas Normales Rurales; Sedes educativas del Organismo Coordinador de las Universidades para el Bienestar Benito Juárez García; Universidad de la Salud de la Ciudad de México; Universidad de la Salud del estado de Puebla; y, las IPES ubicadas en alguna localidad prioritaria. </w:t>
      </w:r>
    </w:p>
    <w:p w14:paraId="68133DF5" w14:textId="0D1B1F30" w:rsidR="00CF49B9" w:rsidRDefault="00CF49B9" w:rsidP="00963410">
      <w:pPr>
        <w:pBdr>
          <w:top w:val="nil"/>
          <w:left w:val="nil"/>
          <w:bottom w:val="nil"/>
          <w:right w:val="nil"/>
          <w:between w:val="nil"/>
        </w:pBdr>
        <w:spacing w:after="120" w:line="240" w:lineRule="auto"/>
        <w:jc w:val="both"/>
        <w:rPr>
          <w:rFonts w:ascii="Cambria" w:eastAsia="Cambria" w:hAnsi="Cambria" w:cs="Cambria"/>
          <w:b/>
          <w:color w:val="000000"/>
        </w:rPr>
      </w:pPr>
      <w:r w:rsidRPr="002F2377">
        <w:rPr>
          <w:rFonts w:ascii="Cambria" w:eastAsia="Cambria" w:hAnsi="Cambria" w:cs="Cambria"/>
          <w:b/>
          <w:color w:val="000000"/>
        </w:rPr>
        <w:t>Principales hallazgos de la evaluación</w:t>
      </w:r>
      <w:r>
        <w:rPr>
          <w:rFonts w:ascii="Cambria" w:eastAsia="Cambria" w:hAnsi="Cambria" w:cs="Cambria"/>
          <w:b/>
          <w:color w:val="000000"/>
        </w:rPr>
        <w:t xml:space="preserve"> </w:t>
      </w:r>
    </w:p>
    <w:p w14:paraId="37ADE8F9" w14:textId="233275D8" w:rsidR="0078365A" w:rsidRPr="0078365A" w:rsidRDefault="0078365A" w:rsidP="0078365A">
      <w:pPr>
        <w:pBdr>
          <w:top w:val="nil"/>
          <w:left w:val="nil"/>
          <w:bottom w:val="nil"/>
          <w:right w:val="nil"/>
          <w:between w:val="nil"/>
        </w:pBdr>
        <w:spacing w:after="120" w:line="240" w:lineRule="auto"/>
        <w:jc w:val="both"/>
        <w:rPr>
          <w:rFonts w:ascii="Cambria" w:eastAsia="Cambria" w:hAnsi="Cambria" w:cs="Cambria"/>
          <w:color w:val="000000"/>
        </w:rPr>
      </w:pPr>
      <w:r w:rsidRPr="0078365A">
        <w:rPr>
          <w:rFonts w:ascii="Cambria" w:eastAsia="Cambria" w:hAnsi="Cambria" w:cs="Cambria"/>
          <w:color w:val="000000"/>
        </w:rPr>
        <w:t>Se detectaron fortalezas en la gestión operativa, las cuales contribuyen a alcanzar el objetivo del Programa</w:t>
      </w:r>
      <w:r>
        <w:rPr>
          <w:rFonts w:ascii="Cambria" w:eastAsia="Cambria" w:hAnsi="Cambria" w:cs="Cambria"/>
          <w:color w:val="000000"/>
        </w:rPr>
        <w:t xml:space="preserve">. </w:t>
      </w:r>
      <w:r w:rsidRPr="0078365A">
        <w:rPr>
          <w:rFonts w:ascii="Cambria" w:eastAsia="Cambria" w:hAnsi="Cambria" w:cs="Cambria"/>
          <w:color w:val="000000"/>
        </w:rPr>
        <w:t>Por un lado, la mayoría de los jóvenes beneficiarios valora positivamente el apoyo, pues consideran la beca como un incentivo significativo para continuar sus estudios. Por otro lado, el pago de las becas se realiza mediante transferencias electrónicas a cuentas bancarias seleccionadas por los beneficiarios lo que promueve la transparencia y facilita la operación del Programa.</w:t>
      </w:r>
    </w:p>
    <w:p w14:paraId="5501F085" w14:textId="3770F121" w:rsidR="0078365A" w:rsidRDefault="0078365A" w:rsidP="00C438E2">
      <w:pPr>
        <w:pBdr>
          <w:top w:val="nil"/>
          <w:left w:val="nil"/>
          <w:bottom w:val="nil"/>
          <w:right w:val="nil"/>
          <w:between w:val="nil"/>
        </w:pBdr>
        <w:spacing w:after="120" w:line="240" w:lineRule="auto"/>
        <w:jc w:val="both"/>
        <w:rPr>
          <w:rFonts w:ascii="Cambria" w:eastAsia="Cambria" w:hAnsi="Cambria" w:cs="Cambria"/>
          <w:color w:val="000000"/>
        </w:rPr>
      </w:pPr>
      <w:r w:rsidRPr="0078365A">
        <w:rPr>
          <w:rFonts w:ascii="Cambria" w:eastAsia="Cambria" w:hAnsi="Cambria" w:cs="Cambria"/>
          <w:color w:val="000000"/>
        </w:rPr>
        <w:t>Sin embargo, también se identificaron áreas de oportunidad que es necesario fortalecer para contribuir a una mejor implementación del Programa.</w:t>
      </w:r>
      <w:r>
        <w:rPr>
          <w:rFonts w:ascii="Cambria" w:eastAsia="Cambria" w:hAnsi="Cambria" w:cs="Cambria"/>
          <w:color w:val="000000"/>
        </w:rPr>
        <w:t xml:space="preserve"> </w:t>
      </w:r>
      <w:r w:rsidRPr="0078365A">
        <w:rPr>
          <w:rFonts w:ascii="Cambria" w:eastAsia="Cambria" w:hAnsi="Cambria" w:cs="Cambria"/>
          <w:color w:val="000000"/>
        </w:rPr>
        <w:t>Un hallazgo relevante es que la</w:t>
      </w:r>
      <w:r>
        <w:rPr>
          <w:rFonts w:ascii="Cambria" w:eastAsia="Cambria" w:hAnsi="Cambria" w:cs="Cambria"/>
          <w:color w:val="000000"/>
        </w:rPr>
        <w:t xml:space="preserve"> </w:t>
      </w:r>
      <w:r w:rsidRPr="0078365A">
        <w:rPr>
          <w:rFonts w:ascii="Cambria" w:eastAsia="Cambria" w:hAnsi="Cambria" w:cs="Cambria"/>
          <w:color w:val="000000"/>
        </w:rPr>
        <w:t xml:space="preserve">Coordinación Nacional de Becas para el Bienestar Benito Juárez </w:t>
      </w:r>
      <w:r>
        <w:rPr>
          <w:rFonts w:ascii="Cambria" w:eastAsia="Cambria" w:hAnsi="Cambria" w:cs="Cambria"/>
          <w:color w:val="000000"/>
        </w:rPr>
        <w:t>(</w:t>
      </w:r>
      <w:r w:rsidRPr="0078365A">
        <w:rPr>
          <w:rFonts w:ascii="Cambria" w:eastAsia="Cambria" w:hAnsi="Cambria" w:cs="Cambria"/>
          <w:color w:val="000000"/>
        </w:rPr>
        <w:t>CNBBBJ</w:t>
      </w:r>
      <w:r>
        <w:rPr>
          <w:rFonts w:ascii="Cambria" w:eastAsia="Cambria" w:hAnsi="Cambria" w:cs="Cambria"/>
          <w:color w:val="000000"/>
        </w:rPr>
        <w:t>)</w:t>
      </w:r>
      <w:r w:rsidRPr="0078365A">
        <w:rPr>
          <w:rFonts w:ascii="Cambria" w:eastAsia="Cambria" w:hAnsi="Cambria" w:cs="Cambria"/>
          <w:color w:val="000000"/>
        </w:rPr>
        <w:t xml:space="preserve"> labora con una estructura operativa que no ha sido aprobada</w:t>
      </w:r>
      <w:r w:rsidR="005220C2">
        <w:rPr>
          <w:rFonts w:ascii="Cambria" w:eastAsia="Cambria" w:hAnsi="Cambria" w:cs="Cambria"/>
          <w:color w:val="000000"/>
        </w:rPr>
        <w:t xml:space="preserve"> por la Secretaría de Hacienda y Crédito Público y la Secretaría de la Función Pública</w:t>
      </w:r>
      <w:r w:rsidRPr="0078365A">
        <w:rPr>
          <w:rFonts w:ascii="Cambria" w:eastAsia="Cambria" w:hAnsi="Cambria" w:cs="Cambria"/>
          <w:color w:val="000000"/>
        </w:rPr>
        <w:t>, lo que le impide contar con manuales de procedimientos que den claridad y certeza sobre su funcionamiento y las funciones de su personal</w:t>
      </w:r>
      <w:r>
        <w:rPr>
          <w:rFonts w:ascii="Cambria" w:eastAsia="Cambria" w:hAnsi="Cambria" w:cs="Cambria"/>
          <w:color w:val="000000"/>
        </w:rPr>
        <w:t>.</w:t>
      </w:r>
    </w:p>
    <w:p w14:paraId="5E16EC43" w14:textId="13D9CA0A" w:rsidR="00143F1D" w:rsidRDefault="00143F1D" w:rsidP="00143F1D">
      <w:pPr>
        <w:pBdr>
          <w:top w:val="nil"/>
          <w:left w:val="nil"/>
          <w:bottom w:val="nil"/>
          <w:right w:val="nil"/>
          <w:between w:val="nil"/>
        </w:pBdr>
        <w:spacing w:after="120" w:line="240" w:lineRule="auto"/>
        <w:jc w:val="both"/>
        <w:rPr>
          <w:rFonts w:ascii="Cambria" w:eastAsia="Cambria" w:hAnsi="Cambria" w:cs="Cambria"/>
          <w:color w:val="000000"/>
        </w:rPr>
      </w:pPr>
      <w:r w:rsidRPr="00C438E2">
        <w:rPr>
          <w:rFonts w:ascii="Cambria" w:eastAsia="Cambria" w:hAnsi="Cambria" w:cs="Cambria"/>
          <w:color w:val="000000"/>
        </w:rPr>
        <w:t>El uso de la plataforma informática Sistema Único de Beneficiarios de Educación Superior (SUBES) para la realización del proceso de solicitud de becas economiza recursos y se adapta a las lógicas universitarias; sin embargo, las condiciones de conectividad en las diferentes regiones y la limitada capacidad del sistema para responder a la demanda se convierten en obstáculos.</w:t>
      </w:r>
      <w:r>
        <w:rPr>
          <w:rFonts w:ascii="Cambria" w:eastAsia="Cambria" w:hAnsi="Cambria" w:cs="Cambria"/>
          <w:color w:val="000000"/>
        </w:rPr>
        <w:t xml:space="preserve"> </w:t>
      </w:r>
      <w:r w:rsidRPr="00C438E2">
        <w:rPr>
          <w:rFonts w:ascii="Cambria" w:eastAsia="Cambria" w:hAnsi="Cambria" w:cs="Cambria"/>
          <w:color w:val="000000"/>
        </w:rPr>
        <w:t>Aunque en algunas instituciones educativas se reconocen mejoras en la plataforma SUBES, persiste una opinión mayoritaria sobre los problemas de saturación y lentitud en la plataforma en los procesos de incorporación. Esta cuestión ya había sido identificada en la evaluación del Programa en 2019-2020.</w:t>
      </w:r>
    </w:p>
    <w:p w14:paraId="6DCE774B" w14:textId="20A26835" w:rsidR="00143F1D" w:rsidRDefault="00D84E2A" w:rsidP="00143F1D">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Por otro lado</w:t>
      </w:r>
      <w:r w:rsidR="00143F1D" w:rsidRPr="00143F1D">
        <w:rPr>
          <w:rFonts w:ascii="Cambria" w:eastAsia="Cambria" w:hAnsi="Cambria" w:cs="Cambria"/>
          <w:color w:val="000000"/>
        </w:rPr>
        <w:t>, la totalidad de los estudiantes consultados manifestaron desconocer las razones de exclusión de la beca ya que el Programa no expone los motivos por los que no son aceptados, lo que podría vulnerar el derecho al acceso a la información de los solicitantes.</w:t>
      </w:r>
    </w:p>
    <w:p w14:paraId="248BD2F1" w14:textId="445488A6" w:rsidR="00614444" w:rsidRDefault="00614444" w:rsidP="00614444">
      <w:pPr>
        <w:pBdr>
          <w:top w:val="nil"/>
          <w:left w:val="nil"/>
          <w:bottom w:val="nil"/>
          <w:right w:val="nil"/>
          <w:between w:val="nil"/>
        </w:pBdr>
        <w:spacing w:after="120" w:line="240" w:lineRule="auto"/>
        <w:jc w:val="both"/>
        <w:rPr>
          <w:rFonts w:ascii="Cambria" w:eastAsia="Cambria" w:hAnsi="Cambria" w:cs="Cambria"/>
          <w:b/>
          <w:color w:val="000000"/>
        </w:rPr>
      </w:pPr>
      <w:r>
        <w:rPr>
          <w:rFonts w:ascii="Cambria" w:eastAsia="Cambria" w:hAnsi="Cambria" w:cs="Cambria"/>
          <w:b/>
          <w:color w:val="000000"/>
        </w:rPr>
        <w:t>Principales recomendaciones de la evaluación</w:t>
      </w:r>
    </w:p>
    <w:p w14:paraId="5A67D292" w14:textId="313AFD2A" w:rsidR="0078365A" w:rsidRDefault="00143F1D" w:rsidP="00614444">
      <w:pPr>
        <w:pBdr>
          <w:top w:val="nil"/>
          <w:left w:val="nil"/>
          <w:bottom w:val="nil"/>
          <w:right w:val="nil"/>
          <w:between w:val="nil"/>
        </w:pBdr>
        <w:spacing w:after="120" w:line="240" w:lineRule="auto"/>
        <w:jc w:val="both"/>
        <w:rPr>
          <w:rFonts w:ascii="Cambria" w:eastAsia="Cambria" w:hAnsi="Cambria" w:cs="Cambria"/>
          <w:color w:val="000000"/>
        </w:rPr>
      </w:pPr>
      <w:r w:rsidRPr="00143F1D">
        <w:rPr>
          <w:rFonts w:ascii="Cambria" w:eastAsia="Cambria" w:hAnsi="Cambria" w:cs="Cambria"/>
          <w:color w:val="000000"/>
        </w:rPr>
        <w:t>Es necesario prestar especial atención a aquellas IPES que se ubican en localidades rurales de difícil acceso, que presentan características de precaria conectividad o que atienden a grupos históricamente discriminados, dado que están en desventaja tanto en lo que refiere al acceso a la información como en el acceso a las plataformas informáticas que permiten llevar a cabo el proceso de solicitud de becas.</w:t>
      </w:r>
      <w:r>
        <w:rPr>
          <w:rFonts w:ascii="Cambria" w:eastAsia="Cambria" w:hAnsi="Cambria" w:cs="Cambria"/>
          <w:color w:val="000000"/>
        </w:rPr>
        <w:t xml:space="preserve"> </w:t>
      </w:r>
      <w:r w:rsidRPr="00143F1D">
        <w:rPr>
          <w:rFonts w:ascii="Cambria" w:eastAsia="Cambria" w:hAnsi="Cambria" w:cs="Cambria"/>
          <w:color w:val="000000"/>
        </w:rPr>
        <w:t>Asimismo</w:t>
      </w:r>
      <w:r>
        <w:rPr>
          <w:rFonts w:ascii="Cambria" w:eastAsia="Cambria" w:hAnsi="Cambria" w:cs="Cambria"/>
          <w:color w:val="000000"/>
        </w:rPr>
        <w:t>,</w:t>
      </w:r>
      <w:r w:rsidRPr="00143F1D">
        <w:rPr>
          <w:rFonts w:ascii="Cambria" w:eastAsia="Cambria" w:hAnsi="Cambria" w:cs="Cambria"/>
          <w:color w:val="000000"/>
        </w:rPr>
        <w:t xml:space="preserve"> se recomienda continuar con la mejora y </w:t>
      </w:r>
      <w:r w:rsidRPr="00143F1D">
        <w:rPr>
          <w:rFonts w:ascii="Cambria" w:eastAsia="Cambria" w:hAnsi="Cambria" w:cs="Cambria"/>
          <w:color w:val="000000"/>
        </w:rPr>
        <w:lastRenderedPageBreak/>
        <w:t>mantenimiento de la plataforma SUBES, para resolver problemas de saturación y estabilidad durante el proceso de solicitud de becas.</w:t>
      </w:r>
      <w:r>
        <w:rPr>
          <w:rFonts w:ascii="Cambria" w:eastAsia="Cambria" w:hAnsi="Cambria" w:cs="Cambria"/>
          <w:color w:val="000000"/>
        </w:rPr>
        <w:t xml:space="preserve"> Por su parte, </w:t>
      </w:r>
      <w:r w:rsidRPr="00143F1D">
        <w:rPr>
          <w:rFonts w:ascii="Cambria" w:eastAsia="Cambria" w:hAnsi="Cambria" w:cs="Cambria"/>
          <w:color w:val="000000"/>
        </w:rPr>
        <w:t>es necesario establecer el procedimiento para informar a los estudiantes y sus IPES las razones de no selección.</w:t>
      </w:r>
    </w:p>
    <w:p w14:paraId="551D47A7" w14:textId="004F5B60" w:rsidR="00614444" w:rsidRDefault="00614444" w:rsidP="00614444">
      <w:pPr>
        <w:pBdr>
          <w:top w:val="nil"/>
          <w:left w:val="nil"/>
          <w:bottom w:val="nil"/>
          <w:right w:val="nil"/>
          <w:between w:val="nil"/>
        </w:pBdr>
        <w:spacing w:after="120" w:line="240" w:lineRule="auto"/>
        <w:jc w:val="both"/>
        <w:rPr>
          <w:rFonts w:ascii="Cambria" w:eastAsia="Cambria" w:hAnsi="Cambria" w:cs="Cambria"/>
          <w:b/>
          <w:color w:val="000000"/>
        </w:rPr>
      </w:pPr>
      <w:r>
        <w:rPr>
          <w:rFonts w:ascii="Cambria" w:eastAsia="Cambria" w:hAnsi="Cambria" w:cs="Cambria"/>
          <w:b/>
          <w:color w:val="000000"/>
        </w:rPr>
        <w:t xml:space="preserve">Recomendaciones para el proceso de programación y presupuestación </w:t>
      </w:r>
    </w:p>
    <w:p w14:paraId="754E58BF" w14:textId="5F9B3806" w:rsidR="0078365A" w:rsidRDefault="007F12FF" w:rsidP="00C438E2">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Es</w:t>
      </w:r>
      <w:r w:rsidRPr="00C522E5">
        <w:rPr>
          <w:rFonts w:ascii="Cambria" w:eastAsia="Cambria" w:hAnsi="Cambria" w:cs="Cambria"/>
          <w:color w:val="000000"/>
        </w:rPr>
        <w:t xml:space="preserve"> fundamental otorgar a la CNBBBJ el andamiaje institucional necesario para una operación sólida y transparente mediante la autorización de su estructura organizaciona</w:t>
      </w:r>
      <w:r>
        <w:rPr>
          <w:rFonts w:ascii="Cambria" w:eastAsia="Cambria" w:hAnsi="Cambria" w:cs="Cambria"/>
          <w:color w:val="000000"/>
        </w:rPr>
        <w:t>l</w:t>
      </w:r>
      <w:r w:rsidR="0078365A" w:rsidRPr="0078365A">
        <w:rPr>
          <w:rFonts w:ascii="Cambria" w:eastAsia="Cambria" w:hAnsi="Cambria" w:cs="Cambria"/>
          <w:color w:val="000000"/>
        </w:rPr>
        <w:t>, así como elaborar un manual o documentos de procedimientos que establezcan las funciones institucionales. Ello permitirá realizar un mejor ejercicio de planeación institucional y dará certeza a la operación del Programa.</w:t>
      </w:r>
    </w:p>
    <w:p w14:paraId="2DB20A7E" w14:textId="77777777" w:rsidR="0078365A" w:rsidRDefault="0078365A" w:rsidP="00C438E2">
      <w:pPr>
        <w:pBdr>
          <w:top w:val="nil"/>
          <w:left w:val="nil"/>
          <w:bottom w:val="nil"/>
          <w:right w:val="nil"/>
          <w:between w:val="nil"/>
        </w:pBdr>
        <w:spacing w:after="120" w:line="240" w:lineRule="auto"/>
        <w:jc w:val="both"/>
        <w:rPr>
          <w:rFonts w:ascii="Cambria" w:eastAsia="Cambria" w:hAnsi="Cambria" w:cs="Cambria"/>
          <w:color w:val="000000"/>
        </w:rPr>
      </w:pPr>
    </w:p>
    <w:p w14:paraId="2C455B77" w14:textId="77777777" w:rsidR="00614444" w:rsidRDefault="00614444" w:rsidP="00614444">
      <w:pPr>
        <w:pBdr>
          <w:top w:val="nil"/>
          <w:left w:val="nil"/>
          <w:bottom w:val="nil"/>
          <w:right w:val="nil"/>
          <w:between w:val="nil"/>
        </w:pBdr>
        <w:shd w:val="clear" w:color="auto" w:fill="D9D9D9"/>
        <w:spacing w:after="120" w:line="240" w:lineRule="auto"/>
        <w:jc w:val="both"/>
        <w:rPr>
          <w:rFonts w:ascii="Cambria" w:eastAsia="Cambria" w:hAnsi="Cambria" w:cs="Cambria"/>
          <w:b/>
          <w:i/>
          <w:color w:val="000000"/>
          <w:sz w:val="20"/>
          <w:szCs w:val="20"/>
        </w:rPr>
      </w:pPr>
      <w:r>
        <w:rPr>
          <w:rFonts w:ascii="Cambria" w:eastAsia="Cambria" w:hAnsi="Cambria" w:cs="Cambria"/>
          <w:b/>
          <w:i/>
          <w:color w:val="000000"/>
        </w:rPr>
        <w:t>Notas:</w:t>
      </w:r>
    </w:p>
    <w:p w14:paraId="7BD2A291"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deberá ser enviado a la UED y al Consejo, de conformidad con lo establecido en los numerales </w:t>
      </w:r>
      <w:r w:rsidRPr="00F41741">
        <w:rPr>
          <w:rFonts w:ascii="Cambria" w:hAnsi="Cambria"/>
          <w:i/>
          <w:color w:val="000000"/>
          <w:sz w:val="20"/>
        </w:rPr>
        <w:t>34 y 3</w:t>
      </w:r>
      <w:r w:rsidRPr="003F32CC">
        <w:rPr>
          <w:rFonts w:ascii="Cambria" w:hAnsi="Cambria"/>
          <w:i/>
          <w:color w:val="000000"/>
          <w:sz w:val="20"/>
        </w:rPr>
        <w:t>5</w:t>
      </w:r>
      <w:r>
        <w:rPr>
          <w:rFonts w:ascii="Cambria" w:eastAsia="Cambria" w:hAnsi="Cambria" w:cs="Cambria"/>
          <w:i/>
          <w:color w:val="000000"/>
          <w:sz w:val="20"/>
          <w:szCs w:val="20"/>
        </w:rPr>
        <w:t xml:space="preserve"> de este PAE, junto con el informe final de la evaluación.</w:t>
      </w:r>
    </w:p>
    <w:p w14:paraId="5AB399AC"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contiene la información señalada en el numeral Vigésimo Octavo de los Lineamientos Generales para la Evaluación de los Programas Federales de la Administración Pública Federal, con excepción de los incisos V, VI y VII. </w:t>
      </w:r>
    </w:p>
    <w:p w14:paraId="371B4536"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 El FARE constituye el principal insumo para integrar el informe trimestral al que hace referencia el artículo 107, fracción I, de la Ley Federal de Presupuesto y Responsabilidad Hacendaria (LFPRH).  </w:t>
      </w:r>
    </w:p>
    <w:p w14:paraId="2C3AE769"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El FARE constituye uno de los principales insumos para la integración del repositorio de evaluaciones que señala el artículo 303 Bis del Reglamento de la LFPRH.</w:t>
      </w:r>
    </w:p>
    <w:p w14:paraId="55A48B96" w14:textId="77777777" w:rsidR="00614444" w:rsidRDefault="00614444"/>
    <w:sectPr w:rsidR="00614444" w:rsidSect="000A3C98">
      <w:headerReference w:type="default" r:id="rId7"/>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8DEEA" w14:textId="77777777" w:rsidR="00CB627E" w:rsidRDefault="00CB627E" w:rsidP="00CF49B9">
      <w:pPr>
        <w:spacing w:after="0" w:line="240" w:lineRule="auto"/>
      </w:pPr>
      <w:r>
        <w:separator/>
      </w:r>
    </w:p>
  </w:endnote>
  <w:endnote w:type="continuationSeparator" w:id="0">
    <w:p w14:paraId="5152D963" w14:textId="77777777" w:rsidR="00CB627E" w:rsidRDefault="00CB627E" w:rsidP="00CF4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Soberana Sans">
    <w:altName w:val="Calibri"/>
    <w:panose1 w:val="00000000000000000000"/>
    <w:charset w:val="00"/>
    <w:family w:val="modern"/>
    <w:notTrueType/>
    <w:pitch w:val="variable"/>
    <w:sig w:usb0="800000AF" w:usb1="4000204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0429D" w14:textId="77777777" w:rsidR="00CB627E" w:rsidRDefault="00CB627E" w:rsidP="00CF49B9">
      <w:pPr>
        <w:spacing w:after="0" w:line="240" w:lineRule="auto"/>
      </w:pPr>
      <w:r>
        <w:separator/>
      </w:r>
    </w:p>
  </w:footnote>
  <w:footnote w:type="continuationSeparator" w:id="0">
    <w:p w14:paraId="5851026C" w14:textId="77777777" w:rsidR="00CB627E" w:rsidRDefault="00CB627E" w:rsidP="00CF4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9FA1" w14:textId="0B87D5DC" w:rsidR="00CF49B9" w:rsidRDefault="00CF49B9">
    <w:pPr>
      <w:pStyle w:val="Encabezado"/>
    </w:pPr>
    <w:r>
      <w:rPr>
        <w:noProof/>
      </w:rPr>
      <w:drawing>
        <wp:anchor distT="0" distB="0" distL="114300" distR="114300" simplePos="0" relativeHeight="251660288" behindDoc="0" locked="0" layoutInCell="1" hidden="0" allowOverlap="1" wp14:anchorId="25677BA9" wp14:editId="5B563B80">
          <wp:simplePos x="0" y="0"/>
          <wp:positionH relativeFrom="column">
            <wp:posOffset>4453255</wp:posOffset>
          </wp:positionH>
          <wp:positionV relativeFrom="paragraph">
            <wp:posOffset>-53018</wp:posOffset>
          </wp:positionV>
          <wp:extent cx="1168400" cy="444500"/>
          <wp:effectExtent l="0" t="0" r="0" b="0"/>
          <wp:wrapNone/>
          <wp:docPr id="7" name="image2.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31" name="image2.png" descr="Imagen que contiene Texto&#10;&#10;Descripción generada automáticamente"/>
                  <pic:cNvPicPr preferRelativeResize="0"/>
                </pic:nvPicPr>
                <pic:blipFill>
                  <a:blip r:embed="rId1"/>
                  <a:srcRect/>
                  <a:stretch>
                    <a:fillRect/>
                  </a:stretch>
                </pic:blipFill>
                <pic:spPr>
                  <a:xfrm>
                    <a:off x="0" y="0"/>
                    <a:ext cx="1168400" cy="444500"/>
                  </a:xfrm>
                  <a:prstGeom prst="rect">
                    <a:avLst/>
                  </a:prstGeom>
                  <a:ln/>
                </pic:spPr>
              </pic:pic>
            </a:graphicData>
          </a:graphic>
        </wp:anchor>
      </w:drawing>
    </w:r>
    <w:r>
      <w:rPr>
        <w:noProof/>
        <w:color w:val="000000"/>
      </w:rPr>
      <w:drawing>
        <wp:anchor distT="0" distB="0" distL="114300" distR="114300" simplePos="0" relativeHeight="251658240" behindDoc="1" locked="0" layoutInCell="1" allowOverlap="1" wp14:anchorId="1A44E853" wp14:editId="1C52C1C3">
          <wp:simplePos x="0" y="0"/>
          <wp:positionH relativeFrom="column">
            <wp:posOffset>3175</wp:posOffset>
          </wp:positionH>
          <wp:positionV relativeFrom="paragraph">
            <wp:posOffset>-23078</wp:posOffset>
          </wp:positionV>
          <wp:extent cx="2304415" cy="494030"/>
          <wp:effectExtent l="0" t="0" r="635" b="1270"/>
          <wp:wrapTight wrapText="bothSides">
            <wp:wrapPolygon edited="0">
              <wp:start x="1071" y="0"/>
              <wp:lineTo x="0" y="3332"/>
              <wp:lineTo x="0" y="19990"/>
              <wp:lineTo x="1428" y="20823"/>
              <wp:lineTo x="3214" y="20823"/>
              <wp:lineTo x="21427" y="18324"/>
              <wp:lineTo x="21427" y="14159"/>
              <wp:lineTo x="20713" y="13326"/>
              <wp:lineTo x="20713" y="2499"/>
              <wp:lineTo x="3036" y="0"/>
              <wp:lineTo x="1071" y="0"/>
            </wp:wrapPolygon>
          </wp:wrapTight>
          <wp:docPr id="8" name="Imagen 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magen que contiene Text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4415" cy="4940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641F6"/>
    <w:multiLevelType w:val="multilevel"/>
    <w:tmpl w:val="67D23DE2"/>
    <w:lvl w:ilvl="0">
      <w:start w:val="1"/>
      <w:numFmt w:val="bullet"/>
      <w:lvlText w:val="•"/>
      <w:lvlJc w:val="left"/>
      <w:pPr>
        <w:ind w:left="1413" w:hanging="704"/>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91704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B9"/>
    <w:rsid w:val="00012869"/>
    <w:rsid w:val="000A3C98"/>
    <w:rsid w:val="000B6BBF"/>
    <w:rsid w:val="00127233"/>
    <w:rsid w:val="00143A1A"/>
    <w:rsid w:val="00143F1D"/>
    <w:rsid w:val="002F2377"/>
    <w:rsid w:val="00314B51"/>
    <w:rsid w:val="003B4F36"/>
    <w:rsid w:val="003C7571"/>
    <w:rsid w:val="003F2EAB"/>
    <w:rsid w:val="00457862"/>
    <w:rsid w:val="00460EDB"/>
    <w:rsid w:val="00503D22"/>
    <w:rsid w:val="005220C2"/>
    <w:rsid w:val="00532438"/>
    <w:rsid w:val="00534812"/>
    <w:rsid w:val="00547A90"/>
    <w:rsid w:val="00550F6C"/>
    <w:rsid w:val="00564D43"/>
    <w:rsid w:val="005717C8"/>
    <w:rsid w:val="0059034F"/>
    <w:rsid w:val="005D623F"/>
    <w:rsid w:val="005E0E62"/>
    <w:rsid w:val="005E15DD"/>
    <w:rsid w:val="005E7C8F"/>
    <w:rsid w:val="00614444"/>
    <w:rsid w:val="00680289"/>
    <w:rsid w:val="00682292"/>
    <w:rsid w:val="006963BD"/>
    <w:rsid w:val="00720D89"/>
    <w:rsid w:val="00770106"/>
    <w:rsid w:val="0078365A"/>
    <w:rsid w:val="00786C38"/>
    <w:rsid w:val="007954FF"/>
    <w:rsid w:val="007F12FF"/>
    <w:rsid w:val="007F5B2E"/>
    <w:rsid w:val="00820861"/>
    <w:rsid w:val="00846880"/>
    <w:rsid w:val="00856DF8"/>
    <w:rsid w:val="00875A45"/>
    <w:rsid w:val="0088018A"/>
    <w:rsid w:val="0088742F"/>
    <w:rsid w:val="008B67B6"/>
    <w:rsid w:val="008F400E"/>
    <w:rsid w:val="00957475"/>
    <w:rsid w:val="00963410"/>
    <w:rsid w:val="009A7196"/>
    <w:rsid w:val="009B2382"/>
    <w:rsid w:val="009F2133"/>
    <w:rsid w:val="00A24A2F"/>
    <w:rsid w:val="00A549BD"/>
    <w:rsid w:val="00A6651F"/>
    <w:rsid w:val="00A86DC3"/>
    <w:rsid w:val="00B041D2"/>
    <w:rsid w:val="00B23A0A"/>
    <w:rsid w:val="00B42149"/>
    <w:rsid w:val="00B42C5C"/>
    <w:rsid w:val="00B7670E"/>
    <w:rsid w:val="00B81ADE"/>
    <w:rsid w:val="00B9650F"/>
    <w:rsid w:val="00BA13CD"/>
    <w:rsid w:val="00BC3954"/>
    <w:rsid w:val="00C16422"/>
    <w:rsid w:val="00C438E2"/>
    <w:rsid w:val="00C82D4C"/>
    <w:rsid w:val="00CB627E"/>
    <w:rsid w:val="00CF49B9"/>
    <w:rsid w:val="00D84E2A"/>
    <w:rsid w:val="00D94126"/>
    <w:rsid w:val="00DF5BC5"/>
    <w:rsid w:val="00E56094"/>
    <w:rsid w:val="00E8550D"/>
    <w:rsid w:val="00EA0137"/>
    <w:rsid w:val="00F15BE8"/>
    <w:rsid w:val="00F514F9"/>
    <w:rsid w:val="00F55A67"/>
    <w:rsid w:val="00FA45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BBA93"/>
  <w15:chartTrackingRefBased/>
  <w15:docId w15:val="{EBCB0C9D-83AA-4872-A96E-B5756B19C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F49B9"/>
    <w:pPr>
      <w:spacing w:after="200" w:line="276" w:lineRule="auto"/>
    </w:pPr>
    <w:rPr>
      <w:rFonts w:ascii="Calibri" w:eastAsia="Calibri" w:hAnsi="Calibri" w:cs="Calibri"/>
      <w:lang w:eastAsia="es-MX"/>
    </w:rPr>
  </w:style>
  <w:style w:type="paragraph" w:styleId="Ttulo2">
    <w:name w:val="heading 2"/>
    <w:basedOn w:val="Normal"/>
    <w:next w:val="Normal"/>
    <w:link w:val="Ttulo2Car"/>
    <w:rsid w:val="00CF49B9"/>
    <w:pPr>
      <w:keepNext/>
      <w:keepLines/>
      <w:spacing w:before="40" w:after="0"/>
      <w:jc w:val="center"/>
      <w:outlineLvl w:val="1"/>
    </w:pPr>
    <w:rPr>
      <w:rFonts w:ascii="Cambria" w:eastAsia="Cambria" w:hAnsi="Cambria" w:cs="Cambria"/>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CF49B9"/>
    <w:rPr>
      <w:rFonts w:ascii="Cambria" w:eastAsia="Cambria" w:hAnsi="Cambria" w:cs="Cambria"/>
      <w:b/>
      <w:i/>
      <w:lang w:eastAsia="es-MX"/>
    </w:rPr>
  </w:style>
  <w:style w:type="table" w:customStyle="1" w:styleId="1">
    <w:name w:val="1"/>
    <w:basedOn w:val="Tablanormal"/>
    <w:rsid w:val="00CF49B9"/>
    <w:pPr>
      <w:spacing w:after="200" w:line="276" w:lineRule="auto"/>
    </w:pPr>
    <w:rPr>
      <w:rFonts w:ascii="Calibri" w:eastAsia="Calibri" w:hAnsi="Calibri" w:cs="Calibri"/>
      <w:lang w:eastAsia="es-MX"/>
    </w:rPr>
    <w:tblPr>
      <w:tblStyleRowBandSize w:val="1"/>
      <w:tblStyleColBandSize w:val="1"/>
      <w:tblInd w:w="0" w:type="nil"/>
      <w:tblCellMar>
        <w:left w:w="115" w:type="dxa"/>
        <w:right w:w="115" w:type="dxa"/>
      </w:tblCellMar>
    </w:tblPr>
  </w:style>
  <w:style w:type="paragraph" w:styleId="Encabezado">
    <w:name w:val="header"/>
    <w:basedOn w:val="Normal"/>
    <w:link w:val="EncabezadoCar"/>
    <w:uiPriority w:val="99"/>
    <w:unhideWhenUsed/>
    <w:rsid w:val="00CF49B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49B9"/>
    <w:rPr>
      <w:rFonts w:ascii="Calibri" w:eastAsia="Calibri" w:hAnsi="Calibri" w:cs="Calibri"/>
      <w:lang w:eastAsia="es-MX"/>
    </w:rPr>
  </w:style>
  <w:style w:type="paragraph" w:styleId="Piedepgina">
    <w:name w:val="footer"/>
    <w:basedOn w:val="Normal"/>
    <w:link w:val="PiedepginaCar"/>
    <w:uiPriority w:val="99"/>
    <w:unhideWhenUsed/>
    <w:rsid w:val="00CF49B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49B9"/>
    <w:rPr>
      <w:rFonts w:ascii="Calibri" w:eastAsia="Calibri" w:hAnsi="Calibri" w:cs="Calibri"/>
      <w:lang w:eastAsia="es-MX"/>
    </w:rPr>
  </w:style>
  <w:style w:type="paragraph" w:customStyle="1" w:styleId="Default">
    <w:name w:val="Default"/>
    <w:rsid w:val="008F400E"/>
    <w:pPr>
      <w:autoSpaceDE w:val="0"/>
      <w:autoSpaceDN w:val="0"/>
      <w:adjustRightInd w:val="0"/>
      <w:spacing w:after="0" w:line="240" w:lineRule="auto"/>
    </w:pPr>
    <w:rPr>
      <w:rFonts w:ascii="Montserrat" w:hAnsi="Montserrat" w:cs="Montserrat"/>
      <w:color w:val="000000"/>
      <w:sz w:val="24"/>
      <w:szCs w:val="24"/>
    </w:rPr>
  </w:style>
  <w:style w:type="paragraph" w:styleId="Textonotapie">
    <w:name w:val="footnote text"/>
    <w:aliases w:val=" Car Car Car Car Car Car Car Car Car Car, Car Car Car Car Car Car Car Car Car Car Car, Car Car Car Car Car Car Car Car Car Car Car Car Car,fn,Car Car Car Car Car Car Car Car Car Car,Car Car Car Car Car Car Car Car Car Car Car"/>
    <w:basedOn w:val="Normal"/>
    <w:link w:val="TextonotapieCar"/>
    <w:unhideWhenUsed/>
    <w:rsid w:val="00143F1D"/>
    <w:pPr>
      <w:spacing w:after="0" w:line="240" w:lineRule="auto"/>
    </w:pPr>
    <w:rPr>
      <w:rFonts w:asciiTheme="minorHAnsi" w:eastAsiaTheme="minorHAnsi" w:hAnsiTheme="minorHAnsi" w:cstheme="minorBidi"/>
      <w:sz w:val="20"/>
      <w:szCs w:val="20"/>
      <w:lang w:eastAsia="en-US"/>
    </w:rPr>
  </w:style>
  <w:style w:type="character" w:customStyle="1" w:styleId="TextonotapieCar">
    <w:name w:val="Texto nota pie Car"/>
    <w:aliases w:val=" Car Car Car Car Car Car Car Car Car Car Car1, Car Car Car Car Car Car Car Car Car Car Car Car, Car Car Car Car Car Car Car Car Car Car Car Car Car Car,fn Car,Car Car Car Car Car Car Car Car Car Car Car1"/>
    <w:basedOn w:val="Fuentedeprrafopredeter"/>
    <w:link w:val="Textonotapie"/>
    <w:rsid w:val="00143F1D"/>
    <w:rPr>
      <w:sz w:val="20"/>
      <w:szCs w:val="20"/>
    </w:rPr>
  </w:style>
  <w:style w:type="character" w:styleId="Refdenotaalpie">
    <w:name w:val="footnote reference"/>
    <w:aliases w:val="4_G"/>
    <w:basedOn w:val="Fuentedeprrafopredeter"/>
    <w:uiPriority w:val="99"/>
    <w:unhideWhenUsed/>
    <w:rsid w:val="00143F1D"/>
    <w:rPr>
      <w:vertAlign w:val="superscript"/>
    </w:rPr>
  </w:style>
  <w:style w:type="paragraph" w:styleId="Revisin">
    <w:name w:val="Revision"/>
    <w:hidden/>
    <w:uiPriority w:val="99"/>
    <w:semiHidden/>
    <w:rsid w:val="00D84E2A"/>
    <w:pPr>
      <w:spacing w:after="0" w:line="240" w:lineRule="auto"/>
    </w:pPr>
    <w:rPr>
      <w:rFonts w:ascii="Calibri" w:eastAsia="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48238">
      <w:bodyDiv w:val="1"/>
      <w:marLeft w:val="0"/>
      <w:marRight w:val="0"/>
      <w:marTop w:val="0"/>
      <w:marBottom w:val="0"/>
      <w:divBdr>
        <w:top w:val="none" w:sz="0" w:space="0" w:color="auto"/>
        <w:left w:val="none" w:sz="0" w:space="0" w:color="auto"/>
        <w:bottom w:val="none" w:sz="0" w:space="0" w:color="auto"/>
        <w:right w:val="none" w:sz="0" w:space="0" w:color="auto"/>
      </w:divBdr>
    </w:div>
    <w:div w:id="256520052">
      <w:bodyDiv w:val="1"/>
      <w:marLeft w:val="0"/>
      <w:marRight w:val="0"/>
      <w:marTop w:val="0"/>
      <w:marBottom w:val="0"/>
      <w:divBdr>
        <w:top w:val="none" w:sz="0" w:space="0" w:color="auto"/>
        <w:left w:val="none" w:sz="0" w:space="0" w:color="auto"/>
        <w:bottom w:val="none" w:sz="0" w:space="0" w:color="auto"/>
        <w:right w:val="none" w:sz="0" w:space="0" w:color="auto"/>
      </w:divBdr>
    </w:div>
    <w:div w:id="293608222">
      <w:bodyDiv w:val="1"/>
      <w:marLeft w:val="0"/>
      <w:marRight w:val="0"/>
      <w:marTop w:val="0"/>
      <w:marBottom w:val="0"/>
      <w:divBdr>
        <w:top w:val="none" w:sz="0" w:space="0" w:color="auto"/>
        <w:left w:val="none" w:sz="0" w:space="0" w:color="auto"/>
        <w:bottom w:val="none" w:sz="0" w:space="0" w:color="auto"/>
        <w:right w:val="none" w:sz="0" w:space="0" w:color="auto"/>
      </w:divBdr>
    </w:div>
    <w:div w:id="366832201">
      <w:bodyDiv w:val="1"/>
      <w:marLeft w:val="0"/>
      <w:marRight w:val="0"/>
      <w:marTop w:val="0"/>
      <w:marBottom w:val="0"/>
      <w:divBdr>
        <w:top w:val="none" w:sz="0" w:space="0" w:color="auto"/>
        <w:left w:val="none" w:sz="0" w:space="0" w:color="auto"/>
        <w:bottom w:val="none" w:sz="0" w:space="0" w:color="auto"/>
        <w:right w:val="none" w:sz="0" w:space="0" w:color="auto"/>
      </w:divBdr>
    </w:div>
    <w:div w:id="700983836">
      <w:bodyDiv w:val="1"/>
      <w:marLeft w:val="0"/>
      <w:marRight w:val="0"/>
      <w:marTop w:val="0"/>
      <w:marBottom w:val="0"/>
      <w:divBdr>
        <w:top w:val="none" w:sz="0" w:space="0" w:color="auto"/>
        <w:left w:val="none" w:sz="0" w:space="0" w:color="auto"/>
        <w:bottom w:val="none" w:sz="0" w:space="0" w:color="auto"/>
        <w:right w:val="none" w:sz="0" w:space="0" w:color="auto"/>
      </w:divBdr>
    </w:div>
    <w:div w:id="778918494">
      <w:bodyDiv w:val="1"/>
      <w:marLeft w:val="0"/>
      <w:marRight w:val="0"/>
      <w:marTop w:val="0"/>
      <w:marBottom w:val="0"/>
      <w:divBdr>
        <w:top w:val="none" w:sz="0" w:space="0" w:color="auto"/>
        <w:left w:val="none" w:sz="0" w:space="0" w:color="auto"/>
        <w:bottom w:val="none" w:sz="0" w:space="0" w:color="auto"/>
        <w:right w:val="none" w:sz="0" w:space="0" w:color="auto"/>
      </w:divBdr>
    </w:div>
    <w:div w:id="873082291">
      <w:bodyDiv w:val="1"/>
      <w:marLeft w:val="0"/>
      <w:marRight w:val="0"/>
      <w:marTop w:val="0"/>
      <w:marBottom w:val="0"/>
      <w:divBdr>
        <w:top w:val="none" w:sz="0" w:space="0" w:color="auto"/>
        <w:left w:val="none" w:sz="0" w:space="0" w:color="auto"/>
        <w:bottom w:val="none" w:sz="0" w:space="0" w:color="auto"/>
        <w:right w:val="none" w:sz="0" w:space="0" w:color="auto"/>
      </w:divBdr>
    </w:div>
    <w:div w:id="905644933">
      <w:bodyDiv w:val="1"/>
      <w:marLeft w:val="0"/>
      <w:marRight w:val="0"/>
      <w:marTop w:val="0"/>
      <w:marBottom w:val="0"/>
      <w:divBdr>
        <w:top w:val="none" w:sz="0" w:space="0" w:color="auto"/>
        <w:left w:val="none" w:sz="0" w:space="0" w:color="auto"/>
        <w:bottom w:val="none" w:sz="0" w:space="0" w:color="auto"/>
        <w:right w:val="none" w:sz="0" w:space="0" w:color="auto"/>
      </w:divBdr>
    </w:div>
    <w:div w:id="1114863226">
      <w:bodyDiv w:val="1"/>
      <w:marLeft w:val="0"/>
      <w:marRight w:val="0"/>
      <w:marTop w:val="0"/>
      <w:marBottom w:val="0"/>
      <w:divBdr>
        <w:top w:val="none" w:sz="0" w:space="0" w:color="auto"/>
        <w:left w:val="none" w:sz="0" w:space="0" w:color="auto"/>
        <w:bottom w:val="none" w:sz="0" w:space="0" w:color="auto"/>
        <w:right w:val="none" w:sz="0" w:space="0" w:color="auto"/>
      </w:divBdr>
    </w:div>
    <w:div w:id="172428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6298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Evelyn J.V.</dc:creator>
  <cp:keywords/>
  <dc:description/>
  <cp:lastModifiedBy>Carolina Maldonado Carreño</cp:lastModifiedBy>
  <cp:revision>2</cp:revision>
  <dcterms:created xsi:type="dcterms:W3CDTF">2023-01-13T00:47:00Z</dcterms:created>
  <dcterms:modified xsi:type="dcterms:W3CDTF">2023-01-13T00:47:00Z</dcterms:modified>
</cp:coreProperties>
</file>